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BD366" w14:textId="61A5E17F" w:rsidR="00C2669E" w:rsidRPr="0020378C" w:rsidRDefault="00C2669E" w:rsidP="00F0436D">
      <w:pPr>
        <w:spacing w:after="0" w:line="240" w:lineRule="auto"/>
        <w:jc w:val="both"/>
        <w:outlineLvl w:val="1"/>
        <w:rPr>
          <w:rFonts w:eastAsia="Times New Roman" w:cstheme="minorHAnsi"/>
          <w:b/>
          <w:bCs/>
          <w:sz w:val="24"/>
          <w:szCs w:val="24"/>
        </w:rPr>
      </w:pPr>
      <w:r w:rsidRPr="00C2669E">
        <w:rPr>
          <w:rFonts w:eastAsia="Times New Roman" w:cstheme="minorHAnsi"/>
          <w:b/>
          <w:bCs/>
          <w:sz w:val="24"/>
          <w:szCs w:val="24"/>
        </w:rPr>
        <w:t>Higher Education After the Retraction Shock:</w:t>
      </w:r>
      <w:r w:rsidR="00F0436D">
        <w:rPr>
          <w:rFonts w:eastAsia="Times New Roman" w:cstheme="minorHAnsi"/>
          <w:b/>
          <w:bCs/>
          <w:sz w:val="24"/>
          <w:szCs w:val="24"/>
        </w:rPr>
        <w:t xml:space="preserve"> </w:t>
      </w:r>
      <w:r w:rsidRPr="0020378C">
        <w:rPr>
          <w:rFonts w:eastAsia="Times New Roman" w:cstheme="minorHAnsi"/>
          <w:b/>
          <w:bCs/>
          <w:sz w:val="24"/>
          <w:szCs w:val="24"/>
        </w:rPr>
        <w:t>Teaching Quality in an Age of Digital Acceleration</w:t>
      </w:r>
      <w:r w:rsidR="007559A6" w:rsidRPr="0020378C">
        <w:rPr>
          <w:rStyle w:val="FootnoteReference"/>
          <w:rFonts w:eastAsia="Times New Roman" w:cstheme="minorHAnsi"/>
          <w:b/>
          <w:bCs/>
          <w:sz w:val="24"/>
          <w:szCs w:val="24"/>
        </w:rPr>
        <w:footnoteReference w:id="1"/>
      </w:r>
    </w:p>
    <w:p w14:paraId="0C3A8422" w14:textId="5C8053BF" w:rsidR="00D41DA3" w:rsidRPr="0020378C" w:rsidRDefault="00D41DA3" w:rsidP="0020378C">
      <w:pPr>
        <w:spacing w:after="0" w:line="240" w:lineRule="auto"/>
        <w:jc w:val="both"/>
        <w:rPr>
          <w:rFonts w:eastAsia="Times New Roman" w:cstheme="minorHAnsi"/>
          <w:b/>
          <w:bCs/>
          <w:sz w:val="24"/>
          <w:szCs w:val="24"/>
        </w:rPr>
      </w:pPr>
    </w:p>
    <w:p w14:paraId="339A16E1" w14:textId="6A1DB86B" w:rsidR="0020378C" w:rsidRPr="0020378C" w:rsidRDefault="0020378C" w:rsidP="0020378C">
      <w:pPr>
        <w:spacing w:after="0" w:line="240" w:lineRule="auto"/>
        <w:jc w:val="both"/>
        <w:rPr>
          <w:rFonts w:eastAsia="Times New Roman" w:cstheme="minorHAnsi"/>
          <w:sz w:val="24"/>
          <w:szCs w:val="24"/>
        </w:rPr>
      </w:pPr>
      <w:r w:rsidRPr="0020378C">
        <w:rPr>
          <w:rFonts w:eastAsia="Times New Roman" w:cstheme="minorHAnsi"/>
          <w:b/>
          <w:bCs/>
          <w:sz w:val="24"/>
          <w:szCs w:val="24"/>
        </w:rPr>
        <w:t>Abstract</w:t>
      </w:r>
      <w:r w:rsidRPr="0020378C">
        <w:rPr>
          <w:rFonts w:eastAsia="Times New Roman" w:cstheme="minorHAnsi"/>
          <w:sz w:val="24"/>
          <w:szCs w:val="24"/>
        </w:rPr>
        <w:br/>
        <w:t>The recent wave of mass retractions in major journals is often treated as a narrow problem of research integrity. This paper argues that it is better understood as a stress test of the entire higher education business model. When careers, budgets, and prestige are tied almost exclusively to publication counts, citation metrics, and rankings, it is rational for institutions and individuals to prioriti</w:t>
      </w:r>
      <w:r>
        <w:rPr>
          <w:rFonts w:eastAsia="Times New Roman" w:cstheme="minorHAnsi"/>
          <w:sz w:val="24"/>
          <w:szCs w:val="24"/>
        </w:rPr>
        <w:t>z</w:t>
      </w:r>
      <w:r w:rsidRPr="0020378C">
        <w:rPr>
          <w:rFonts w:eastAsia="Times New Roman" w:cstheme="minorHAnsi"/>
          <w:sz w:val="24"/>
          <w:szCs w:val="24"/>
        </w:rPr>
        <w:t>e rapid, high-volume output over serious teaching, curriculum design, and ethical leadership. At the same time, universities are accelerating their digital transformation through learning management systems, online programs, artificial intelligence (AI)–driven tools, and data-rich dashboards. Without a change in underlying incentives, these technologies risk amplifying existing distortions rather than correcting them, producing systems that are technically sophisticated and globally networked but pedagogically hollow.</w:t>
      </w:r>
    </w:p>
    <w:p w14:paraId="396C93B3" w14:textId="77777777" w:rsidR="0020378C" w:rsidRPr="0020378C" w:rsidRDefault="0020378C" w:rsidP="0020378C">
      <w:pPr>
        <w:spacing w:after="0" w:line="240" w:lineRule="auto"/>
        <w:jc w:val="both"/>
        <w:rPr>
          <w:rFonts w:eastAsia="Times New Roman" w:cstheme="minorHAnsi"/>
          <w:sz w:val="24"/>
          <w:szCs w:val="24"/>
        </w:rPr>
      </w:pPr>
      <w:r w:rsidRPr="0020378C">
        <w:rPr>
          <w:rFonts w:eastAsia="Times New Roman" w:cstheme="minorHAnsi"/>
          <w:sz w:val="24"/>
          <w:szCs w:val="24"/>
        </w:rPr>
        <w:t xml:space="preserve">The paper links three dynamics: the retraction shock and its ripple effects on reputation and trust; the shifting global geography of higher education and its dependence on volatile metrics; and the role of digital platforms in either deepening or repairing the disconnect between teaching, employability, and leadership formation. It concludes that redesigning incentives—within institutions, in national quality assurance frameworks, and in global rankings—is a precondition for restoring the quality and legitimacy of higher education. A redefinition of “world-class” is proposed, </w:t>
      </w:r>
      <w:proofErr w:type="spellStart"/>
      <w:r w:rsidRPr="0020378C">
        <w:rPr>
          <w:rFonts w:eastAsia="Times New Roman" w:cstheme="minorHAnsi"/>
          <w:sz w:val="24"/>
          <w:szCs w:val="24"/>
        </w:rPr>
        <w:t>centred</w:t>
      </w:r>
      <w:proofErr w:type="spellEnd"/>
      <w:r w:rsidRPr="0020378C">
        <w:rPr>
          <w:rFonts w:eastAsia="Times New Roman" w:cstheme="minorHAnsi"/>
          <w:sz w:val="24"/>
          <w:szCs w:val="24"/>
        </w:rPr>
        <w:t xml:space="preserve"> on truthful knowledge, deep learning, and the formation of responsible leaders rather than on publication volume alone. </w:t>
      </w:r>
    </w:p>
    <w:p w14:paraId="1F3885E0" w14:textId="77777777" w:rsidR="00FA75F3" w:rsidRDefault="00FA75F3" w:rsidP="00FA75F3">
      <w:pPr>
        <w:spacing w:after="0" w:line="240" w:lineRule="auto"/>
        <w:jc w:val="both"/>
        <w:rPr>
          <w:rFonts w:eastAsia="Times New Roman" w:cstheme="minorHAnsi"/>
          <w:b/>
          <w:bCs/>
          <w:sz w:val="24"/>
          <w:szCs w:val="24"/>
        </w:rPr>
      </w:pPr>
    </w:p>
    <w:p w14:paraId="0C9F464D" w14:textId="390CA718" w:rsidR="00FA75F3" w:rsidRPr="00FA75F3" w:rsidRDefault="00FA75F3" w:rsidP="00FA75F3">
      <w:pPr>
        <w:spacing w:after="0" w:line="240" w:lineRule="auto"/>
        <w:jc w:val="both"/>
        <w:rPr>
          <w:rFonts w:ascii="Arial Narrow" w:eastAsia="Times New Roman" w:hAnsi="Arial Narrow" w:cstheme="minorHAnsi"/>
          <w:i/>
          <w:iCs/>
          <w:sz w:val="20"/>
          <w:szCs w:val="20"/>
        </w:rPr>
      </w:pPr>
      <w:r w:rsidRPr="00FA75F3">
        <w:rPr>
          <w:rFonts w:ascii="Arial Narrow" w:eastAsia="Times New Roman" w:hAnsi="Arial Narrow" w:cstheme="minorHAnsi"/>
          <w:b/>
          <w:bCs/>
          <w:i/>
          <w:iCs/>
          <w:sz w:val="20"/>
          <w:szCs w:val="20"/>
        </w:rPr>
        <w:t>Keywords</w:t>
      </w:r>
      <w:r w:rsidRPr="00FA75F3">
        <w:rPr>
          <w:rFonts w:ascii="Arial Narrow" w:eastAsia="Times New Roman" w:hAnsi="Arial Narrow" w:cstheme="minorHAnsi"/>
          <w:i/>
          <w:iCs/>
          <w:sz w:val="20"/>
          <w:szCs w:val="20"/>
        </w:rPr>
        <w:t xml:space="preserve">: Higher education, Research integrity, Retractions / retraction shock, Academic publishing, Digital transformation, Artificial intelligence (AI) in education, </w:t>
      </w:r>
      <w:r w:rsidRPr="00FA75F3">
        <w:rPr>
          <w:rFonts w:ascii="Arial Narrow" w:eastAsia="Times New Roman" w:hAnsi="Arial Narrow" w:cstheme="minorHAnsi"/>
          <w:i/>
          <w:iCs/>
          <w:sz w:val="20"/>
          <w:szCs w:val="20"/>
        </w:rPr>
        <w:t>learning</w:t>
      </w:r>
      <w:r w:rsidRPr="00FA75F3">
        <w:rPr>
          <w:rFonts w:ascii="Arial Narrow" w:eastAsia="Times New Roman" w:hAnsi="Arial Narrow" w:cstheme="minorHAnsi"/>
          <w:i/>
          <w:iCs/>
          <w:sz w:val="20"/>
          <w:szCs w:val="20"/>
        </w:rPr>
        <w:t xml:space="preserve"> management systems (LMS), Rankings and metrics, Teaching and learning quality, Graduate employability, Incentive structures, Global South / MENA universities</w:t>
      </w:r>
    </w:p>
    <w:p w14:paraId="4219BDAC" w14:textId="708E4FEA" w:rsidR="0020378C" w:rsidRPr="0020378C" w:rsidRDefault="0020378C" w:rsidP="0020378C">
      <w:pPr>
        <w:spacing w:after="0" w:line="240" w:lineRule="auto"/>
        <w:jc w:val="both"/>
        <w:rPr>
          <w:rFonts w:eastAsia="Times New Roman" w:cstheme="minorHAnsi"/>
          <w:b/>
          <w:bCs/>
          <w:sz w:val="24"/>
          <w:szCs w:val="24"/>
        </w:rPr>
      </w:pPr>
    </w:p>
    <w:p w14:paraId="1E9CBB72" w14:textId="64015A3B" w:rsidR="0020378C" w:rsidRPr="0020378C" w:rsidRDefault="009E600A" w:rsidP="0020378C">
      <w:pPr>
        <w:spacing w:after="0" w:line="240" w:lineRule="auto"/>
        <w:jc w:val="both"/>
        <w:rPr>
          <w:rFonts w:eastAsia="Times New Roman" w:cstheme="minorHAnsi"/>
          <w:b/>
          <w:bCs/>
          <w:sz w:val="24"/>
          <w:szCs w:val="24"/>
        </w:rPr>
      </w:pPr>
      <w:r>
        <w:rPr>
          <w:rFonts w:eastAsia="Times New Roman" w:cstheme="minorHAnsi"/>
          <w:b/>
          <w:bCs/>
          <w:sz w:val="24"/>
          <w:szCs w:val="24"/>
        </w:rPr>
        <w:t>Introduction</w:t>
      </w:r>
    </w:p>
    <w:p w14:paraId="7203703F" w14:textId="77777777" w:rsidR="00542702" w:rsidRPr="00542702" w:rsidRDefault="00542702" w:rsidP="0020378C">
      <w:pPr>
        <w:spacing w:after="0" w:line="240" w:lineRule="auto"/>
        <w:jc w:val="both"/>
        <w:rPr>
          <w:rFonts w:eastAsia="Times New Roman" w:cstheme="minorHAnsi"/>
          <w:sz w:val="24"/>
          <w:szCs w:val="24"/>
        </w:rPr>
      </w:pPr>
      <w:r w:rsidRPr="0020378C">
        <w:rPr>
          <w:rFonts w:eastAsia="Times New Roman" w:cstheme="minorHAnsi"/>
          <w:sz w:val="24"/>
          <w:szCs w:val="24"/>
        </w:rPr>
        <w:t>The recent wave of mass retractions in major journals is often framed as a narrow</w:t>
      </w:r>
      <w:r w:rsidRPr="00542702">
        <w:rPr>
          <w:rFonts w:eastAsia="Times New Roman" w:cstheme="minorHAnsi"/>
          <w:sz w:val="24"/>
          <w:szCs w:val="24"/>
        </w:rPr>
        <w:t xml:space="preserve"> “research integrity” crisis. In reality, it is a symptom of something deeper and more structural: an academic economy that rewards publication volume, citation counts, and league-table positions far more than it rewards serious teaching, student learning, or ethical leadership. When careers, budgets, and prestige are tied almost exclusively to how much a university publishes and how often it is cited, it is only a matter of time </w:t>
      </w:r>
      <w:r w:rsidRPr="00542702">
        <w:rPr>
          <w:rFonts w:eastAsia="Times New Roman" w:cstheme="minorHAnsi"/>
          <w:sz w:val="24"/>
          <w:szCs w:val="24"/>
        </w:rPr>
        <w:lastRenderedPageBreak/>
        <w:t>before shortcuts, paper mills, and hollow “outputs” start to crowd out slower, less measurable forms of academic work.</w:t>
      </w:r>
    </w:p>
    <w:p w14:paraId="08F60286" w14:textId="16FAAC9B" w:rsidR="00542702" w:rsidRPr="00542702" w:rsidRDefault="00542702" w:rsidP="00542702">
      <w:pPr>
        <w:spacing w:after="0" w:line="240" w:lineRule="auto"/>
        <w:jc w:val="both"/>
        <w:rPr>
          <w:rFonts w:eastAsia="Times New Roman" w:cstheme="minorHAnsi"/>
          <w:sz w:val="24"/>
          <w:szCs w:val="24"/>
        </w:rPr>
      </w:pPr>
      <w:r w:rsidRPr="00542702">
        <w:rPr>
          <w:rFonts w:eastAsia="Times New Roman" w:cstheme="minorHAnsi"/>
          <w:sz w:val="24"/>
          <w:szCs w:val="24"/>
        </w:rPr>
        <w:t>At the same time, universities are racing to “go digital.” They launch online degrees, adopt artificial intelligence (AI)–enhanced platforms, roll out dashboards that track every click, and wrap it all in glossy language about innovation and disruption. Yet if the underlying incentives remain unchanged, this digital transformation risks becoming little more than a cosmetic upgrade. We graft fast technologies onto a broken incentive system and congratulate ourselves on being modern, while classrooms are stretched thinner, feedback becomes more automated, and the space for genuine human interaction in teaching quietly shrinks. The result is a higher education sector that is technically sophisticated and globally networked</w:t>
      </w:r>
      <w:r w:rsidR="002F5CE1">
        <w:rPr>
          <w:rFonts w:eastAsia="Times New Roman" w:cstheme="minorHAnsi"/>
          <w:sz w:val="24"/>
          <w:szCs w:val="24"/>
        </w:rPr>
        <w:t xml:space="preserve"> </w:t>
      </w:r>
      <w:r w:rsidRPr="00542702">
        <w:rPr>
          <w:rFonts w:eastAsia="Times New Roman" w:cstheme="minorHAnsi"/>
          <w:sz w:val="24"/>
          <w:szCs w:val="24"/>
        </w:rPr>
        <w:t>but pedagogically hollow.</w:t>
      </w:r>
    </w:p>
    <w:p w14:paraId="60CB75DE" w14:textId="3B3900F1" w:rsidR="00542702" w:rsidRPr="00542702" w:rsidRDefault="00542702" w:rsidP="00542702">
      <w:pPr>
        <w:spacing w:after="0" w:line="240" w:lineRule="auto"/>
        <w:jc w:val="both"/>
        <w:rPr>
          <w:rFonts w:eastAsia="Times New Roman" w:cstheme="minorHAnsi"/>
          <w:sz w:val="24"/>
          <w:szCs w:val="24"/>
        </w:rPr>
      </w:pPr>
      <w:r w:rsidRPr="00542702">
        <w:rPr>
          <w:rFonts w:eastAsia="Times New Roman" w:cstheme="minorHAnsi"/>
          <w:sz w:val="24"/>
          <w:szCs w:val="24"/>
        </w:rPr>
        <w:t>If higher education is to stay relevant in this age of fast-moving digital transformation, it needs more than new platforms or smarter algorithms. It needs a deliberate re-anchoring of purpose and incentives: away from publication counts as the dominant currency of value, and back toward what societies actually expect from their universities</w:t>
      </w:r>
      <w:r w:rsidR="002F5CE1">
        <w:rPr>
          <w:rFonts w:eastAsia="Times New Roman" w:cstheme="minorHAnsi"/>
          <w:sz w:val="24"/>
          <w:szCs w:val="24"/>
        </w:rPr>
        <w:t xml:space="preserve">: </w:t>
      </w:r>
      <w:r w:rsidRPr="00542702">
        <w:rPr>
          <w:rFonts w:eastAsia="Times New Roman" w:cstheme="minorHAnsi"/>
          <w:sz w:val="24"/>
          <w:szCs w:val="24"/>
        </w:rPr>
        <w:t>high-quality teaching, graduates who can find or create meaningful work, and leaders who can navigate complexity without sacrificing ethics. That means redesigning promotion systems, funding models, and ranking criteria so that a professor who invests in teaching, curriculum design, and student mentoring is not quietly punished for doing so. Only then will digital tools serve as amplifiers of good education, rather than accelerators of a distorted academic economy.</w:t>
      </w:r>
    </w:p>
    <w:p w14:paraId="56BE76D7" w14:textId="77777777" w:rsidR="002B7619" w:rsidRDefault="002B7619" w:rsidP="00C2669E">
      <w:pPr>
        <w:spacing w:after="0" w:line="240" w:lineRule="auto"/>
        <w:jc w:val="both"/>
        <w:outlineLvl w:val="1"/>
        <w:rPr>
          <w:rFonts w:eastAsia="Times New Roman" w:cstheme="minorHAnsi"/>
          <w:b/>
          <w:bCs/>
          <w:sz w:val="24"/>
          <w:szCs w:val="24"/>
        </w:rPr>
      </w:pPr>
    </w:p>
    <w:p w14:paraId="20490B1A" w14:textId="36F134EE" w:rsidR="00C2669E" w:rsidRPr="00C2669E" w:rsidRDefault="00C2669E" w:rsidP="00C2669E">
      <w:pPr>
        <w:spacing w:after="0" w:line="240" w:lineRule="auto"/>
        <w:jc w:val="both"/>
        <w:outlineLvl w:val="1"/>
        <w:rPr>
          <w:rFonts w:eastAsia="Times New Roman" w:cstheme="minorHAnsi"/>
          <w:b/>
          <w:bCs/>
          <w:sz w:val="24"/>
          <w:szCs w:val="24"/>
        </w:rPr>
      </w:pPr>
      <w:r w:rsidRPr="00C2669E">
        <w:rPr>
          <w:rFonts w:eastAsia="Times New Roman" w:cstheme="minorHAnsi"/>
          <w:b/>
          <w:bCs/>
          <w:sz w:val="24"/>
          <w:szCs w:val="24"/>
        </w:rPr>
        <w:t>1. Retractions</w:t>
      </w:r>
      <w:r w:rsidR="007559A6">
        <w:rPr>
          <w:rStyle w:val="FootnoteReference"/>
          <w:rFonts w:eastAsia="Times New Roman" w:cstheme="minorHAnsi"/>
          <w:b/>
          <w:bCs/>
          <w:sz w:val="24"/>
          <w:szCs w:val="24"/>
        </w:rPr>
        <w:footnoteReference w:id="2"/>
      </w:r>
      <w:r w:rsidRPr="00C2669E">
        <w:rPr>
          <w:rFonts w:eastAsia="Times New Roman" w:cstheme="minorHAnsi"/>
          <w:b/>
          <w:bCs/>
          <w:sz w:val="24"/>
          <w:szCs w:val="24"/>
        </w:rPr>
        <w:t xml:space="preserve"> as a mirror of our incentives</w:t>
      </w:r>
    </w:p>
    <w:p w14:paraId="1A57F8B2" w14:textId="2B9D4F40" w:rsidR="00C2669E" w:rsidRPr="00C2669E" w:rsidRDefault="00C2669E" w:rsidP="002F5CE1">
      <w:pPr>
        <w:spacing w:after="0" w:line="240" w:lineRule="auto"/>
        <w:jc w:val="both"/>
        <w:rPr>
          <w:rFonts w:eastAsia="Times New Roman" w:cstheme="minorHAnsi"/>
          <w:sz w:val="24"/>
          <w:szCs w:val="24"/>
        </w:rPr>
      </w:pPr>
      <w:r w:rsidRPr="00C2669E">
        <w:rPr>
          <w:rFonts w:eastAsia="Times New Roman" w:cstheme="minorHAnsi"/>
          <w:sz w:val="24"/>
          <w:szCs w:val="24"/>
        </w:rPr>
        <w:t>The numbers on retractions are startling: tens of thousands of papers withdrawn, entire special issues cancelled, and major publishers forced into large-scale “clean-ups” of their own portfolios. Behind the statistics lies a simple logic:</w:t>
      </w:r>
    </w:p>
    <w:p w14:paraId="3BEC857A" w14:textId="77777777" w:rsidR="00C2669E" w:rsidRPr="00C2669E" w:rsidRDefault="00C2669E" w:rsidP="00C2669E">
      <w:pPr>
        <w:numPr>
          <w:ilvl w:val="0"/>
          <w:numId w:val="1"/>
        </w:numPr>
        <w:spacing w:after="0" w:line="240" w:lineRule="auto"/>
        <w:jc w:val="both"/>
        <w:rPr>
          <w:rFonts w:eastAsia="Times New Roman" w:cstheme="minorHAnsi"/>
          <w:sz w:val="24"/>
          <w:szCs w:val="24"/>
        </w:rPr>
      </w:pPr>
      <w:r w:rsidRPr="00C2669E">
        <w:rPr>
          <w:rFonts w:eastAsia="Times New Roman" w:cstheme="minorHAnsi"/>
          <w:sz w:val="24"/>
          <w:szCs w:val="24"/>
        </w:rPr>
        <w:t>Careers, promotions, and institutional prestige are tied to publication counts, impact factors, and rankings.</w:t>
      </w:r>
    </w:p>
    <w:p w14:paraId="7BC977BA" w14:textId="77777777" w:rsidR="00C2669E" w:rsidRPr="00C2669E" w:rsidRDefault="00C2669E" w:rsidP="00C2669E">
      <w:pPr>
        <w:numPr>
          <w:ilvl w:val="0"/>
          <w:numId w:val="1"/>
        </w:numPr>
        <w:spacing w:after="0" w:line="240" w:lineRule="auto"/>
        <w:jc w:val="both"/>
        <w:rPr>
          <w:rFonts w:eastAsia="Times New Roman" w:cstheme="minorHAnsi"/>
          <w:sz w:val="24"/>
          <w:szCs w:val="24"/>
        </w:rPr>
      </w:pPr>
      <w:r w:rsidRPr="00C2669E">
        <w:rPr>
          <w:rFonts w:eastAsia="Times New Roman" w:cstheme="minorHAnsi"/>
          <w:sz w:val="24"/>
          <w:szCs w:val="24"/>
        </w:rPr>
        <w:lastRenderedPageBreak/>
        <w:t>Rankings and bibliometric indicators are cheap to measure and easy to display on marketing material.</w:t>
      </w:r>
    </w:p>
    <w:p w14:paraId="7B0315AD" w14:textId="07CE1A2D" w:rsidR="00C2669E" w:rsidRPr="00C2669E" w:rsidRDefault="00C2669E" w:rsidP="0026151F">
      <w:pPr>
        <w:numPr>
          <w:ilvl w:val="0"/>
          <w:numId w:val="1"/>
        </w:numPr>
        <w:spacing w:after="0" w:line="240" w:lineRule="auto"/>
        <w:jc w:val="both"/>
        <w:rPr>
          <w:rFonts w:eastAsia="Times New Roman" w:cstheme="minorHAnsi"/>
          <w:sz w:val="24"/>
          <w:szCs w:val="24"/>
        </w:rPr>
      </w:pPr>
      <w:r w:rsidRPr="00C2669E">
        <w:rPr>
          <w:rFonts w:eastAsia="Times New Roman" w:cstheme="minorHAnsi"/>
          <w:sz w:val="24"/>
          <w:szCs w:val="24"/>
        </w:rPr>
        <w:t>Everything else</w:t>
      </w:r>
      <w:r w:rsidR="0026151F">
        <w:rPr>
          <w:rFonts w:eastAsia="Times New Roman" w:cstheme="minorHAnsi"/>
          <w:sz w:val="24"/>
          <w:szCs w:val="24"/>
        </w:rPr>
        <w:t xml:space="preserve"> (</w:t>
      </w:r>
      <w:r w:rsidRPr="00C2669E">
        <w:rPr>
          <w:rFonts w:eastAsia="Times New Roman" w:cstheme="minorHAnsi"/>
          <w:sz w:val="24"/>
          <w:szCs w:val="24"/>
        </w:rPr>
        <w:t>time spent redesigning a course, mentoring students, or building work-based learning opportunities</w:t>
      </w:r>
      <w:r w:rsidR="0026151F">
        <w:rPr>
          <w:rFonts w:eastAsia="Times New Roman" w:cstheme="minorHAnsi"/>
          <w:sz w:val="24"/>
          <w:szCs w:val="24"/>
        </w:rPr>
        <w:t xml:space="preserve">) </w:t>
      </w:r>
      <w:r w:rsidRPr="00C2669E">
        <w:rPr>
          <w:rFonts w:eastAsia="Times New Roman" w:cstheme="minorHAnsi"/>
          <w:sz w:val="24"/>
          <w:szCs w:val="24"/>
        </w:rPr>
        <w:t>barely registers in promotion files.</w:t>
      </w:r>
    </w:p>
    <w:p w14:paraId="40637879" w14:textId="77777777" w:rsidR="00C2669E" w:rsidRPr="00C2669E" w:rsidRDefault="00C2669E" w:rsidP="00C2669E">
      <w:pPr>
        <w:spacing w:after="0" w:line="240" w:lineRule="auto"/>
        <w:jc w:val="both"/>
        <w:rPr>
          <w:rFonts w:eastAsia="Times New Roman" w:cstheme="minorHAnsi"/>
          <w:sz w:val="24"/>
          <w:szCs w:val="24"/>
        </w:rPr>
      </w:pPr>
      <w:r w:rsidRPr="00C2669E">
        <w:rPr>
          <w:rFonts w:eastAsia="Times New Roman" w:cstheme="minorHAnsi"/>
          <w:sz w:val="24"/>
          <w:szCs w:val="24"/>
        </w:rPr>
        <w:t xml:space="preserve">In such a system, academics act rationally. They allocate effort to what is measured and rewarded. For some, that means cutting corners or buying “paper mill” products. For many more, it simply means treating teaching as a secondary duty to be managed with minimal damage to research output. The retraction crisis is therefore not an anomaly; it is the extreme edge of an incentive structure that quietly devalues teaching every day. </w:t>
      </w:r>
    </w:p>
    <w:p w14:paraId="115D6D72" w14:textId="6DD44E99" w:rsidR="00C2669E" w:rsidRPr="00E249F9" w:rsidRDefault="00C2669E" w:rsidP="00C2669E">
      <w:pPr>
        <w:spacing w:after="0" w:line="240" w:lineRule="auto"/>
        <w:jc w:val="both"/>
        <w:rPr>
          <w:rFonts w:eastAsia="Times New Roman" w:cstheme="minorHAnsi"/>
          <w:sz w:val="24"/>
          <w:szCs w:val="24"/>
        </w:rPr>
      </w:pPr>
      <w:r w:rsidRPr="00C2669E">
        <w:rPr>
          <w:rFonts w:eastAsia="Times New Roman" w:cstheme="minorHAnsi"/>
          <w:sz w:val="24"/>
          <w:szCs w:val="24"/>
        </w:rPr>
        <w:t>Digital tools do not change this logic on their own. In fact, they often amplify it</w:t>
      </w:r>
      <w:r w:rsidR="002F5CE1">
        <w:rPr>
          <w:rFonts w:eastAsia="Times New Roman" w:cstheme="minorHAnsi"/>
          <w:sz w:val="24"/>
          <w:szCs w:val="24"/>
        </w:rPr>
        <w:t xml:space="preserve"> </w:t>
      </w:r>
      <w:r w:rsidRPr="00C2669E">
        <w:rPr>
          <w:rFonts w:eastAsia="Times New Roman" w:cstheme="minorHAnsi"/>
          <w:sz w:val="24"/>
          <w:szCs w:val="24"/>
        </w:rPr>
        <w:t>by making it easier to count everything that looks like “output” and to ignore everything that looks like “care.”</w:t>
      </w:r>
    </w:p>
    <w:p w14:paraId="11C4E374" w14:textId="7E397BC9" w:rsidR="00C2669E" w:rsidRDefault="00E249F9" w:rsidP="00C2669E">
      <w:pPr>
        <w:spacing w:after="0" w:line="240" w:lineRule="auto"/>
        <w:jc w:val="both"/>
        <w:outlineLvl w:val="1"/>
        <w:rPr>
          <w:sz w:val="24"/>
          <w:szCs w:val="24"/>
        </w:rPr>
      </w:pPr>
      <w:r w:rsidRPr="00E249F9">
        <w:rPr>
          <w:sz w:val="24"/>
          <w:szCs w:val="24"/>
        </w:rPr>
        <w:t>Retractions do not stay confined to the technical world of bibliographic databases. They ripple outward into rankings, funding decisions, and public trust. When a major publisher retracts hundreds or thousands of papers, it is not only the individual authors who are affected. Universities see their citation counts and league-table positions reshuffled; ministries and funding bodies begin to question the value they are buying; hiring and promotion committees are forced to revisit files built on now-dubious outputs. In regions that are already under geopolitical or reputational pressure, whole systems can find themselves treated as “high risk” by partners and donors because a few high-profile scandals have fed a stereotype of low integrity. Digital platforms make these spillovers faster and more brutal: retraction labels propagate instantly across databases, dashboards, and ranking algorithms, while the subtler, slower work of teaching and curriculum reform remains mostly invisible. In this sense, mass retractions are not just a research-integrity problem; they are a systemic shock that exposes how tightly our global higher education economy is wired to volatile metrics and fragile reputations.</w:t>
      </w:r>
    </w:p>
    <w:p w14:paraId="47A9445B" w14:textId="77777777" w:rsidR="002B7619" w:rsidRDefault="002B7619" w:rsidP="002B7619">
      <w:pPr>
        <w:spacing w:after="0" w:line="240" w:lineRule="auto"/>
        <w:jc w:val="both"/>
        <w:rPr>
          <w:rFonts w:eastAsia="Times New Roman" w:cstheme="minorHAnsi"/>
          <w:b/>
          <w:bCs/>
          <w:sz w:val="24"/>
          <w:szCs w:val="24"/>
        </w:rPr>
      </w:pPr>
    </w:p>
    <w:p w14:paraId="628206DC" w14:textId="2800F44F" w:rsidR="004F7A18" w:rsidRPr="002B7619" w:rsidRDefault="004F7A18" w:rsidP="002B7619">
      <w:pPr>
        <w:spacing w:after="0" w:line="240" w:lineRule="auto"/>
        <w:jc w:val="both"/>
        <w:rPr>
          <w:rFonts w:eastAsia="Times New Roman" w:cstheme="minorHAnsi"/>
          <w:b/>
          <w:bCs/>
          <w:sz w:val="24"/>
          <w:szCs w:val="24"/>
        </w:rPr>
      </w:pPr>
      <w:r w:rsidRPr="00E249F9">
        <w:rPr>
          <w:rFonts w:eastAsia="Times New Roman" w:cstheme="minorHAnsi"/>
          <w:b/>
          <w:bCs/>
          <w:sz w:val="24"/>
          <w:szCs w:val="24"/>
        </w:rPr>
        <w:t>2. A shifting global landscape and a shared vulnerability</w:t>
      </w:r>
    </w:p>
    <w:p w14:paraId="3F09DB1E" w14:textId="54048D87" w:rsidR="00E249F9" w:rsidRPr="00E249F9" w:rsidRDefault="00E249F9" w:rsidP="004F7A18">
      <w:pPr>
        <w:spacing w:after="0" w:line="240" w:lineRule="auto"/>
        <w:jc w:val="both"/>
        <w:rPr>
          <w:rFonts w:eastAsia="Times New Roman" w:cstheme="minorHAnsi"/>
          <w:sz w:val="24"/>
          <w:szCs w:val="24"/>
        </w:rPr>
      </w:pPr>
      <w:r w:rsidRPr="00E249F9">
        <w:rPr>
          <w:sz w:val="24"/>
          <w:szCs w:val="24"/>
        </w:rPr>
        <w:t>The retraction shock is therefore not only a symptom of distorted incentives inside universities; it is also a stress test for a global higher education marketplace that has become dangerously dependent on fast metrics and digital visibility.</w:t>
      </w:r>
    </w:p>
    <w:p w14:paraId="314E1784" w14:textId="289EFB71" w:rsidR="004F7A18" w:rsidRPr="00905CCE" w:rsidRDefault="004F7A18" w:rsidP="004F7A18">
      <w:pPr>
        <w:spacing w:after="0" w:line="240" w:lineRule="auto"/>
        <w:jc w:val="both"/>
        <w:rPr>
          <w:rFonts w:eastAsia="Times New Roman" w:cstheme="minorHAnsi"/>
          <w:sz w:val="24"/>
          <w:szCs w:val="24"/>
        </w:rPr>
      </w:pPr>
      <w:r w:rsidRPr="00E249F9">
        <w:rPr>
          <w:rFonts w:eastAsia="Times New Roman" w:cstheme="minorHAnsi"/>
          <w:sz w:val="24"/>
          <w:szCs w:val="24"/>
        </w:rPr>
        <w:t>The race for prestige does not happen in the abstract. It plays out in a real and rapidly changing g</w:t>
      </w:r>
      <w:r w:rsidRPr="00905CCE">
        <w:rPr>
          <w:rFonts w:eastAsia="Times New Roman" w:cstheme="minorHAnsi"/>
          <w:sz w:val="24"/>
          <w:szCs w:val="24"/>
        </w:rPr>
        <w:t>lobal landscape where systems are competing</w:t>
      </w:r>
      <w:r w:rsidR="0026151F">
        <w:rPr>
          <w:rFonts w:eastAsia="Times New Roman" w:cstheme="minorHAnsi"/>
          <w:sz w:val="24"/>
          <w:szCs w:val="24"/>
        </w:rPr>
        <w:t xml:space="preserve"> </w:t>
      </w:r>
      <w:r w:rsidRPr="00905CCE">
        <w:rPr>
          <w:rFonts w:eastAsia="Times New Roman" w:cstheme="minorHAnsi"/>
          <w:sz w:val="24"/>
          <w:szCs w:val="24"/>
        </w:rPr>
        <w:t>not just for students and faculty, but for visibility in rankings, citations, and digital reach. This is the context in which mass retractions and fast-moving digital transformation must be understood. The more universities are pressured to “catch up” or “break into the top 200,” the stronger the temptation to chase quick publication gains and rapid technological fixes, even at the cost of research integrity and teaching quality.</w:t>
      </w:r>
    </w:p>
    <w:p w14:paraId="1BE8E485" w14:textId="77777777" w:rsidR="004F7A18" w:rsidRPr="00905CCE" w:rsidRDefault="004F7A18" w:rsidP="004F7A18">
      <w:pPr>
        <w:spacing w:after="0" w:line="240" w:lineRule="auto"/>
        <w:jc w:val="both"/>
        <w:rPr>
          <w:rFonts w:eastAsia="Times New Roman" w:cstheme="minorHAnsi"/>
          <w:sz w:val="24"/>
          <w:szCs w:val="24"/>
        </w:rPr>
      </w:pPr>
      <w:r w:rsidRPr="00905CCE">
        <w:rPr>
          <w:rFonts w:eastAsia="Times New Roman" w:cstheme="minorHAnsi"/>
          <w:sz w:val="24"/>
          <w:szCs w:val="24"/>
        </w:rPr>
        <w:t xml:space="preserve">The geography of higher education is changing fast. For decades, the map seemed stable: a small group of American and Western European universities dominated the top </w:t>
      </w:r>
      <w:r w:rsidRPr="00905CCE">
        <w:rPr>
          <w:rFonts w:eastAsia="Times New Roman" w:cstheme="minorHAnsi"/>
          <w:sz w:val="24"/>
          <w:szCs w:val="24"/>
        </w:rPr>
        <w:lastRenderedPageBreak/>
        <w:t>of the league tables, and the rest of the world played the role of latecomer. That picture is now more complicated. China has poured unprecedented resources into its universities, the Gulf states are investing heavily in academic hubs and branch campuses, and countries like Lebanon continue to punch above their weight in regional higher education despite deep economic and political crises. Underneath these differences lies a common pressure: to signal “world-class” status through research output, citations, and digital visibility.</w:t>
      </w:r>
    </w:p>
    <w:p w14:paraId="50937352" w14:textId="77777777" w:rsidR="004F7A18" w:rsidRPr="00905CCE" w:rsidRDefault="004F7A18" w:rsidP="004F7A18">
      <w:pPr>
        <w:spacing w:after="0" w:line="240" w:lineRule="auto"/>
        <w:jc w:val="both"/>
        <w:rPr>
          <w:rFonts w:eastAsia="Times New Roman" w:cstheme="minorHAnsi"/>
          <w:sz w:val="24"/>
          <w:szCs w:val="24"/>
        </w:rPr>
      </w:pPr>
      <w:r w:rsidRPr="00905CCE">
        <w:rPr>
          <w:rFonts w:eastAsia="Times New Roman" w:cstheme="minorHAnsi"/>
          <w:sz w:val="24"/>
          <w:szCs w:val="24"/>
        </w:rPr>
        <w:t>In the United States, especially in the public sector, decades of underinvestment have forced universities into a permanent state of competition—for tuition-paying students, international enrolments, grants, and donations. One of the few ways to demonstrate value to boards, donors, and politicians is through metrics that travel easily: publication counts, impact factors, rankings. In this environment, faculty and administrators are pushed toward high-volume research strategies, sometimes at the expense of careful scholarship and serious teaching. The retraction crisis is not separate from this story; it is one of its more visible consequences. When institutions are judged on how much they publish, not how much students learn, there will always be a market for shortcuts, paper mills, and “productivity” tricks.</w:t>
      </w:r>
    </w:p>
    <w:p w14:paraId="43BBE2B0" w14:textId="77777777" w:rsidR="004F7A18" w:rsidRPr="00905CCE" w:rsidRDefault="004F7A18" w:rsidP="004F7A18">
      <w:pPr>
        <w:spacing w:after="0" w:line="240" w:lineRule="auto"/>
        <w:jc w:val="both"/>
        <w:rPr>
          <w:rFonts w:eastAsia="Times New Roman" w:cstheme="minorHAnsi"/>
          <w:sz w:val="24"/>
          <w:szCs w:val="24"/>
        </w:rPr>
      </w:pPr>
      <w:r w:rsidRPr="00905CCE">
        <w:rPr>
          <w:rFonts w:eastAsia="Times New Roman" w:cstheme="minorHAnsi"/>
          <w:sz w:val="24"/>
          <w:szCs w:val="24"/>
        </w:rPr>
        <w:t>China faces a different configuration of pressures but a similar vulnerability. Massive state investment has elevated a number of Chinese universities into the top tiers of global rankings, especially in science and engineering. At the same time, strong political steering of research agendas and curricula creates incentives to prioritize volume, visibility, and alignment with national goals over critical inquiry and intellectual independence. Here again, the combination of intense output pressure and a rapidly expanding research system creates fertile ground for questionable practices, including inflated authorship, duplicated work, and low-quality publication. Digital platforms and AI-enabled tools make it easier than ever to generate, submit, and disseminate large quantities of research; they do not automatically improve its integrity.</w:t>
      </w:r>
    </w:p>
    <w:p w14:paraId="19F441DF" w14:textId="6989CE2E" w:rsidR="004F7A18" w:rsidRPr="00905CCE" w:rsidRDefault="004F7A18" w:rsidP="004F7A18">
      <w:pPr>
        <w:spacing w:after="0" w:line="240" w:lineRule="auto"/>
        <w:jc w:val="both"/>
        <w:rPr>
          <w:rFonts w:eastAsia="Times New Roman" w:cstheme="minorHAnsi"/>
          <w:sz w:val="24"/>
          <w:szCs w:val="24"/>
        </w:rPr>
      </w:pPr>
      <w:r w:rsidRPr="00905CCE">
        <w:rPr>
          <w:rFonts w:eastAsia="Times New Roman" w:cstheme="minorHAnsi"/>
          <w:sz w:val="24"/>
          <w:szCs w:val="24"/>
        </w:rPr>
        <w:t>In the Middle East, the picture is more fragmented. Qatar, the United Arab Emirates, and Saudi Arabia are building ambitious, digitally sophisticated education ecosystems, while countries like Lebanon struggle to maintain long-standing institutions under conditions of fiscal collapse and brain drain. Yet across the region, governments and universities alike are drawn to the language of “global competitiveness,” “knowledge economy,” and “innovation.” Rankings and digital presence become the short-hand proof that these ambitions are real. The risk is that institutions feel compelled to grow research output and online offerings faster than they can grow the underlying cultures of quality</w:t>
      </w:r>
      <w:r w:rsidR="0026151F">
        <w:rPr>
          <w:rFonts w:eastAsia="Times New Roman" w:cstheme="minorHAnsi"/>
          <w:sz w:val="24"/>
          <w:szCs w:val="24"/>
        </w:rPr>
        <w:t xml:space="preserve"> such as r</w:t>
      </w:r>
      <w:r w:rsidRPr="00905CCE">
        <w:rPr>
          <w:rFonts w:eastAsia="Times New Roman" w:cstheme="minorHAnsi"/>
          <w:sz w:val="24"/>
          <w:szCs w:val="24"/>
        </w:rPr>
        <w:t>obust peer review, academic freedom, responsible supervision, and thoughtful pedagogy. In that gap between ambition and capacity lies the same vulnerability: superficial success on paper and on screen, coupled with fragile substance.</w:t>
      </w:r>
    </w:p>
    <w:p w14:paraId="4A8FC9E0" w14:textId="77777777" w:rsidR="004F7A18" w:rsidRPr="00905CCE" w:rsidRDefault="004F7A18" w:rsidP="004F7A18">
      <w:pPr>
        <w:spacing w:after="0" w:line="240" w:lineRule="auto"/>
        <w:jc w:val="both"/>
        <w:rPr>
          <w:rFonts w:eastAsia="Times New Roman" w:cstheme="minorHAnsi"/>
          <w:sz w:val="24"/>
          <w:szCs w:val="24"/>
        </w:rPr>
      </w:pPr>
      <w:r w:rsidRPr="00905CCE">
        <w:rPr>
          <w:rFonts w:eastAsia="Times New Roman" w:cstheme="minorHAnsi"/>
          <w:sz w:val="24"/>
          <w:szCs w:val="24"/>
        </w:rPr>
        <w:t xml:space="preserve">This is where retractions and fast-moving digital transformation intersect. Retractions expose the cracks in a metric-driven research culture; digital tools accelerate everything that culture rewards. A university that is under pressure to rise in the rankings can use </w:t>
      </w:r>
      <w:r w:rsidRPr="00905CCE">
        <w:rPr>
          <w:rFonts w:eastAsia="Times New Roman" w:cstheme="minorHAnsi"/>
          <w:sz w:val="24"/>
          <w:szCs w:val="24"/>
        </w:rPr>
        <w:lastRenderedPageBreak/>
        <w:t>digital platforms to scale up publications, international partnerships, and online programs at impressive speed. But if the governing logic remains “publish more, appear higher, look modern,” the most likely outcome is not deeper learning or more trustworthy knowledge. It is a system that becomes ever more efficient at producing questionable research and thin educational experiences—global, networked, and data-rich, yet increasingly disconnected from its core mission.</w:t>
      </w:r>
    </w:p>
    <w:p w14:paraId="6BFFE297" w14:textId="77777777" w:rsidR="002B7619" w:rsidRDefault="002B7619" w:rsidP="00C2669E">
      <w:pPr>
        <w:spacing w:after="0" w:line="240" w:lineRule="auto"/>
        <w:jc w:val="both"/>
        <w:outlineLvl w:val="1"/>
        <w:rPr>
          <w:rFonts w:eastAsia="Times New Roman" w:cstheme="minorHAnsi"/>
          <w:b/>
          <w:bCs/>
          <w:sz w:val="24"/>
          <w:szCs w:val="24"/>
        </w:rPr>
      </w:pPr>
    </w:p>
    <w:p w14:paraId="73E092B8" w14:textId="3FA9B134" w:rsidR="00C2669E" w:rsidRPr="00C2669E" w:rsidRDefault="00C2669E" w:rsidP="00C2669E">
      <w:pPr>
        <w:spacing w:after="0" w:line="240" w:lineRule="auto"/>
        <w:jc w:val="both"/>
        <w:outlineLvl w:val="1"/>
        <w:rPr>
          <w:rFonts w:eastAsia="Times New Roman" w:cstheme="minorHAnsi"/>
          <w:b/>
          <w:bCs/>
          <w:sz w:val="24"/>
          <w:szCs w:val="24"/>
        </w:rPr>
      </w:pPr>
      <w:r w:rsidRPr="00C2669E">
        <w:rPr>
          <w:rFonts w:eastAsia="Times New Roman" w:cstheme="minorHAnsi"/>
          <w:b/>
          <w:bCs/>
          <w:sz w:val="24"/>
          <w:szCs w:val="24"/>
        </w:rPr>
        <w:t>3. Digital transformation: possibility and trap</w:t>
      </w:r>
    </w:p>
    <w:p w14:paraId="30FD5D97" w14:textId="5D179D6F" w:rsidR="00C2669E" w:rsidRPr="00C2669E" w:rsidRDefault="00C2669E" w:rsidP="00763BEC">
      <w:pPr>
        <w:spacing w:after="0" w:line="240" w:lineRule="auto"/>
        <w:jc w:val="both"/>
        <w:rPr>
          <w:rFonts w:eastAsia="Times New Roman" w:cstheme="minorHAnsi"/>
          <w:sz w:val="24"/>
          <w:szCs w:val="24"/>
        </w:rPr>
      </w:pPr>
      <w:r w:rsidRPr="00C2669E">
        <w:rPr>
          <w:rFonts w:eastAsia="Times New Roman" w:cstheme="minorHAnsi"/>
          <w:sz w:val="24"/>
          <w:szCs w:val="24"/>
        </w:rPr>
        <w:t>Digital transformation in higher education is real and important. Online and blended learning, AI-powered tutors, learning analytics, and hybrid classrooms have enormous potential, particularly in regions where physical access to high-quality universities is limited.</w:t>
      </w:r>
      <w:r w:rsidR="00763BEC">
        <w:rPr>
          <w:rFonts w:eastAsia="Times New Roman" w:cstheme="minorHAnsi"/>
          <w:sz w:val="24"/>
          <w:szCs w:val="24"/>
        </w:rPr>
        <w:t xml:space="preserve"> </w:t>
      </w:r>
      <w:r w:rsidRPr="00C2669E">
        <w:rPr>
          <w:rFonts w:eastAsia="Times New Roman" w:cstheme="minorHAnsi"/>
          <w:sz w:val="24"/>
          <w:szCs w:val="24"/>
        </w:rPr>
        <w:t>But there are at least three traps:</w:t>
      </w:r>
    </w:p>
    <w:p w14:paraId="02FC4246" w14:textId="71554CCC" w:rsidR="00C2669E" w:rsidRPr="00C2669E" w:rsidRDefault="00C2669E" w:rsidP="00C2669E">
      <w:pPr>
        <w:numPr>
          <w:ilvl w:val="0"/>
          <w:numId w:val="3"/>
        </w:numPr>
        <w:spacing w:after="0" w:line="240" w:lineRule="auto"/>
        <w:jc w:val="both"/>
        <w:rPr>
          <w:rFonts w:eastAsia="Times New Roman" w:cstheme="minorHAnsi"/>
          <w:sz w:val="24"/>
          <w:szCs w:val="24"/>
        </w:rPr>
      </w:pPr>
      <w:r w:rsidRPr="0026151F">
        <w:rPr>
          <w:rFonts w:eastAsia="Times New Roman" w:cstheme="minorHAnsi"/>
          <w:i/>
          <w:iCs/>
          <w:sz w:val="24"/>
          <w:szCs w:val="24"/>
        </w:rPr>
        <w:t>Digitizing the old model instead of redesigning it.</w:t>
      </w:r>
      <w:r>
        <w:rPr>
          <w:rFonts w:eastAsia="Times New Roman" w:cstheme="minorHAnsi"/>
          <w:b/>
          <w:bCs/>
          <w:sz w:val="24"/>
          <w:szCs w:val="24"/>
        </w:rPr>
        <w:t xml:space="preserve"> </w:t>
      </w:r>
      <w:r w:rsidRPr="00C2669E">
        <w:rPr>
          <w:rFonts w:eastAsia="Times New Roman" w:cstheme="minorHAnsi"/>
          <w:sz w:val="24"/>
          <w:szCs w:val="24"/>
        </w:rPr>
        <w:t>Large lecture courses can now be streamed, recorded, and automated</w:t>
      </w:r>
      <w:r w:rsidR="00F55D47">
        <w:rPr>
          <w:rFonts w:eastAsia="Times New Roman" w:cstheme="minorHAnsi"/>
          <w:sz w:val="24"/>
          <w:szCs w:val="24"/>
        </w:rPr>
        <w:t xml:space="preserve">, </w:t>
      </w:r>
      <w:r w:rsidRPr="00C2669E">
        <w:rPr>
          <w:rFonts w:eastAsia="Times New Roman" w:cstheme="minorHAnsi"/>
          <w:sz w:val="24"/>
          <w:szCs w:val="24"/>
        </w:rPr>
        <w:t>but a bad lecture on a screen is still a bad lecture, just more scalable.</w:t>
      </w:r>
    </w:p>
    <w:p w14:paraId="228737CC" w14:textId="06625479" w:rsidR="00C2669E" w:rsidRPr="00C2669E" w:rsidRDefault="00C2669E" w:rsidP="00C2669E">
      <w:pPr>
        <w:numPr>
          <w:ilvl w:val="0"/>
          <w:numId w:val="3"/>
        </w:numPr>
        <w:spacing w:after="0" w:line="240" w:lineRule="auto"/>
        <w:jc w:val="both"/>
        <w:rPr>
          <w:rFonts w:eastAsia="Times New Roman" w:cstheme="minorHAnsi"/>
          <w:sz w:val="24"/>
          <w:szCs w:val="24"/>
        </w:rPr>
      </w:pPr>
      <w:r w:rsidRPr="00F55D47">
        <w:rPr>
          <w:rFonts w:eastAsia="Times New Roman" w:cstheme="minorHAnsi"/>
          <w:i/>
          <w:iCs/>
          <w:sz w:val="24"/>
          <w:szCs w:val="24"/>
        </w:rPr>
        <w:t>Confusing “data-rich” with “learning-rich.”</w:t>
      </w:r>
      <w:r>
        <w:rPr>
          <w:rFonts w:eastAsia="Times New Roman" w:cstheme="minorHAnsi"/>
          <w:b/>
          <w:bCs/>
          <w:sz w:val="24"/>
          <w:szCs w:val="24"/>
        </w:rPr>
        <w:t xml:space="preserve"> </w:t>
      </w:r>
      <w:r w:rsidRPr="00C2669E">
        <w:rPr>
          <w:rFonts w:eastAsia="Times New Roman" w:cstheme="minorHAnsi"/>
          <w:sz w:val="24"/>
          <w:szCs w:val="24"/>
        </w:rPr>
        <w:t>Platforms can track clicks, log-ins, quiz attempts, and time-on-task. Yet the skills employers actually need</w:t>
      </w:r>
      <w:r w:rsidR="00F55D47">
        <w:rPr>
          <w:rFonts w:eastAsia="Times New Roman" w:cstheme="minorHAnsi"/>
          <w:sz w:val="24"/>
          <w:szCs w:val="24"/>
        </w:rPr>
        <w:t xml:space="preserve"> (</w:t>
      </w:r>
      <w:r w:rsidRPr="00C2669E">
        <w:rPr>
          <w:rFonts w:eastAsia="Times New Roman" w:cstheme="minorHAnsi"/>
          <w:sz w:val="24"/>
          <w:szCs w:val="24"/>
        </w:rPr>
        <w:t>critical thinking, problem-solving, teamwork, ethical judgment</w:t>
      </w:r>
      <w:r w:rsidR="00F55D47">
        <w:rPr>
          <w:rFonts w:eastAsia="Times New Roman" w:cstheme="minorHAnsi"/>
          <w:sz w:val="24"/>
          <w:szCs w:val="24"/>
        </w:rPr>
        <w:t xml:space="preserve">) </w:t>
      </w:r>
      <w:r w:rsidRPr="00C2669E">
        <w:rPr>
          <w:rFonts w:eastAsia="Times New Roman" w:cstheme="minorHAnsi"/>
          <w:sz w:val="24"/>
          <w:szCs w:val="24"/>
        </w:rPr>
        <w:t>are not easily captured by dashboards.</w:t>
      </w:r>
    </w:p>
    <w:p w14:paraId="387441B6" w14:textId="6C5A185F" w:rsidR="00C2669E" w:rsidRPr="00C2669E" w:rsidRDefault="00C2669E" w:rsidP="00C2669E">
      <w:pPr>
        <w:numPr>
          <w:ilvl w:val="0"/>
          <w:numId w:val="3"/>
        </w:numPr>
        <w:spacing w:after="0" w:line="240" w:lineRule="auto"/>
        <w:jc w:val="both"/>
        <w:rPr>
          <w:rFonts w:eastAsia="Times New Roman" w:cstheme="minorHAnsi"/>
          <w:sz w:val="24"/>
          <w:szCs w:val="24"/>
        </w:rPr>
      </w:pPr>
      <w:r w:rsidRPr="00F55D47">
        <w:rPr>
          <w:rFonts w:eastAsia="Times New Roman" w:cstheme="minorHAnsi"/>
          <w:i/>
          <w:iCs/>
          <w:sz w:val="24"/>
          <w:szCs w:val="24"/>
        </w:rPr>
        <w:t>Using technology to intensify pressure on faculty.</w:t>
      </w:r>
      <w:r>
        <w:rPr>
          <w:rFonts w:eastAsia="Times New Roman" w:cstheme="minorHAnsi"/>
          <w:b/>
          <w:bCs/>
          <w:sz w:val="24"/>
          <w:szCs w:val="24"/>
        </w:rPr>
        <w:t xml:space="preserve"> </w:t>
      </w:r>
      <w:r w:rsidRPr="00C2669E">
        <w:rPr>
          <w:rFonts w:eastAsia="Times New Roman" w:cstheme="minorHAnsi"/>
          <w:sz w:val="24"/>
          <w:szCs w:val="24"/>
        </w:rPr>
        <w:t>When digital platforms make it easier to teach more students with fewer staff, the temptation is to enlarge class sizes, freeze hiring, and demand “more with less,” while still expecting faculty to publish at historically high levels.</w:t>
      </w:r>
    </w:p>
    <w:p w14:paraId="1446AD4F" w14:textId="4F88B01C" w:rsidR="00C2669E" w:rsidRPr="00C2669E" w:rsidRDefault="00C2669E" w:rsidP="00F55D47">
      <w:pPr>
        <w:spacing w:after="0" w:line="240" w:lineRule="auto"/>
        <w:jc w:val="both"/>
        <w:rPr>
          <w:rFonts w:eastAsia="Times New Roman" w:cstheme="minorHAnsi"/>
          <w:sz w:val="24"/>
          <w:szCs w:val="24"/>
        </w:rPr>
      </w:pPr>
      <w:r w:rsidRPr="00C2669E">
        <w:rPr>
          <w:rFonts w:eastAsia="Times New Roman" w:cstheme="minorHAnsi"/>
          <w:sz w:val="24"/>
          <w:szCs w:val="24"/>
        </w:rPr>
        <w:t>So digital transformation becomes a multiplier: if your core mission is skewed toward research metrics and rankings, technology helps you chase those faster. If your mission is re-anchored in student learning and social impact, technology can help you reach that more effectively.</w:t>
      </w:r>
      <w:r w:rsidR="00F55D47">
        <w:rPr>
          <w:rFonts w:eastAsia="Times New Roman" w:cstheme="minorHAnsi"/>
          <w:sz w:val="24"/>
          <w:szCs w:val="24"/>
        </w:rPr>
        <w:t xml:space="preserve"> </w:t>
      </w:r>
      <w:r w:rsidRPr="00C2669E">
        <w:rPr>
          <w:rFonts w:eastAsia="Times New Roman" w:cstheme="minorHAnsi"/>
          <w:sz w:val="24"/>
          <w:szCs w:val="24"/>
        </w:rPr>
        <w:t>The question is not “how digital” a university is, but what problem its digital strategy is trying to solve.</w:t>
      </w:r>
    </w:p>
    <w:p w14:paraId="1985DE31" w14:textId="77777777" w:rsidR="002B7619" w:rsidRDefault="002B7619" w:rsidP="00C2669E">
      <w:pPr>
        <w:spacing w:after="0" w:line="240" w:lineRule="auto"/>
        <w:jc w:val="both"/>
        <w:outlineLvl w:val="1"/>
        <w:rPr>
          <w:rFonts w:eastAsia="Times New Roman" w:cstheme="minorHAnsi"/>
          <w:b/>
          <w:bCs/>
          <w:sz w:val="24"/>
          <w:szCs w:val="24"/>
        </w:rPr>
      </w:pPr>
    </w:p>
    <w:p w14:paraId="42EA2FF1" w14:textId="057CA300" w:rsidR="00C2669E" w:rsidRPr="00C2669E" w:rsidRDefault="00C2669E" w:rsidP="00C2669E">
      <w:pPr>
        <w:spacing w:after="0" w:line="240" w:lineRule="auto"/>
        <w:jc w:val="both"/>
        <w:outlineLvl w:val="1"/>
        <w:rPr>
          <w:rFonts w:eastAsia="Times New Roman" w:cstheme="minorHAnsi"/>
          <w:b/>
          <w:bCs/>
          <w:sz w:val="24"/>
          <w:szCs w:val="24"/>
        </w:rPr>
      </w:pPr>
      <w:r w:rsidRPr="00C2669E">
        <w:rPr>
          <w:rFonts w:eastAsia="Times New Roman" w:cstheme="minorHAnsi"/>
          <w:b/>
          <w:bCs/>
          <w:sz w:val="24"/>
          <w:szCs w:val="24"/>
        </w:rPr>
        <w:t>4. Bridging schooling and career in a disrupted labor market</w:t>
      </w:r>
    </w:p>
    <w:p w14:paraId="1302059C" w14:textId="77777777" w:rsidR="00C55465" w:rsidRDefault="00DE0F26" w:rsidP="00C2669E">
      <w:pPr>
        <w:spacing w:after="0" w:line="240" w:lineRule="auto"/>
        <w:jc w:val="both"/>
        <w:rPr>
          <w:sz w:val="24"/>
          <w:szCs w:val="24"/>
        </w:rPr>
      </w:pPr>
      <w:r w:rsidRPr="00DE0F26">
        <w:rPr>
          <w:sz w:val="24"/>
          <w:szCs w:val="24"/>
        </w:rPr>
        <w:t>Higher education is often described as a bridge between the structured world of schooling and the far less predictable world of work. That bridge is under unprecedented strain. Employers are reconfiguring jobs under pressure from automation, artificial intelligence, platform work, and global competition; career paths are becoming shorter, more fragmented, and harder to predict. In this context, a degree can no longer be treated as a one-time passport to a stable profession. Universities are being asked to do something much harder: to help learners build adaptable capabilities, ethical judgement, and career resilience in labor markets where job descriptions change faster than curricula. The question is not only whether graduates have the right technical skills, but whether higher education still functions as a reliable connector between learning, employability, and a meaningful life course.</w:t>
      </w:r>
      <w:r w:rsidR="00C55465">
        <w:rPr>
          <w:sz w:val="24"/>
          <w:szCs w:val="24"/>
        </w:rPr>
        <w:t xml:space="preserve"> </w:t>
      </w:r>
    </w:p>
    <w:p w14:paraId="18561953" w14:textId="79D9988A" w:rsidR="00C2669E" w:rsidRPr="00DE0F26" w:rsidRDefault="00C2669E" w:rsidP="00C55465">
      <w:pPr>
        <w:spacing w:after="0" w:line="240" w:lineRule="auto"/>
        <w:jc w:val="both"/>
        <w:rPr>
          <w:rFonts w:eastAsia="Times New Roman" w:cstheme="minorHAnsi"/>
          <w:sz w:val="24"/>
          <w:szCs w:val="24"/>
        </w:rPr>
      </w:pPr>
      <w:r w:rsidRPr="00DE0F26">
        <w:rPr>
          <w:rFonts w:eastAsia="Times New Roman" w:cstheme="minorHAnsi"/>
          <w:sz w:val="24"/>
          <w:szCs w:val="24"/>
        </w:rPr>
        <w:lastRenderedPageBreak/>
        <w:t>That bridge is under strain.</w:t>
      </w:r>
      <w:r w:rsidR="00C55465">
        <w:rPr>
          <w:rFonts w:eastAsia="Times New Roman" w:cstheme="minorHAnsi"/>
          <w:sz w:val="24"/>
          <w:szCs w:val="24"/>
        </w:rPr>
        <w:t xml:space="preserve"> </w:t>
      </w:r>
      <w:r w:rsidRPr="00DE0F26">
        <w:rPr>
          <w:rFonts w:eastAsia="Times New Roman" w:cstheme="minorHAnsi"/>
          <w:sz w:val="24"/>
          <w:szCs w:val="24"/>
        </w:rPr>
        <w:t>The modern labor market is shaped by automation, AI, platform work, and volatile demand. Employers increasingly say they need graduates who can:</w:t>
      </w:r>
    </w:p>
    <w:p w14:paraId="3A16545A" w14:textId="77777777" w:rsidR="00C2669E" w:rsidRPr="00DE0F26" w:rsidRDefault="00C2669E" w:rsidP="00C2669E">
      <w:pPr>
        <w:numPr>
          <w:ilvl w:val="0"/>
          <w:numId w:val="4"/>
        </w:numPr>
        <w:spacing w:after="0" w:line="240" w:lineRule="auto"/>
        <w:jc w:val="both"/>
        <w:rPr>
          <w:rFonts w:eastAsia="Times New Roman" w:cstheme="minorHAnsi"/>
          <w:sz w:val="24"/>
          <w:szCs w:val="24"/>
        </w:rPr>
      </w:pPr>
      <w:r w:rsidRPr="00DE0F26">
        <w:rPr>
          <w:rFonts w:eastAsia="Times New Roman" w:cstheme="minorHAnsi"/>
          <w:sz w:val="24"/>
          <w:szCs w:val="24"/>
        </w:rPr>
        <w:t>Learn new tools quickly</w:t>
      </w:r>
    </w:p>
    <w:p w14:paraId="05AEDA50" w14:textId="77777777" w:rsidR="00C2669E" w:rsidRPr="00C2669E" w:rsidRDefault="00C2669E" w:rsidP="00C2669E">
      <w:pPr>
        <w:numPr>
          <w:ilvl w:val="0"/>
          <w:numId w:val="4"/>
        </w:numPr>
        <w:spacing w:after="0" w:line="240" w:lineRule="auto"/>
        <w:jc w:val="both"/>
        <w:rPr>
          <w:rFonts w:eastAsia="Times New Roman" w:cstheme="minorHAnsi"/>
          <w:sz w:val="24"/>
          <w:szCs w:val="24"/>
        </w:rPr>
      </w:pPr>
      <w:r w:rsidRPr="00C2669E">
        <w:rPr>
          <w:rFonts w:eastAsia="Times New Roman" w:cstheme="minorHAnsi"/>
          <w:sz w:val="24"/>
          <w:szCs w:val="24"/>
        </w:rPr>
        <w:t>Work in diverse teams</w:t>
      </w:r>
    </w:p>
    <w:p w14:paraId="1FF9EBD5" w14:textId="77777777" w:rsidR="00C2669E" w:rsidRPr="00C2669E" w:rsidRDefault="00C2669E" w:rsidP="00C2669E">
      <w:pPr>
        <w:numPr>
          <w:ilvl w:val="0"/>
          <w:numId w:val="4"/>
        </w:numPr>
        <w:spacing w:after="0" w:line="240" w:lineRule="auto"/>
        <w:jc w:val="both"/>
        <w:rPr>
          <w:rFonts w:eastAsia="Times New Roman" w:cstheme="minorHAnsi"/>
          <w:sz w:val="24"/>
          <w:szCs w:val="24"/>
        </w:rPr>
      </w:pPr>
      <w:r w:rsidRPr="00C2669E">
        <w:rPr>
          <w:rFonts w:eastAsia="Times New Roman" w:cstheme="minorHAnsi"/>
          <w:sz w:val="24"/>
          <w:szCs w:val="24"/>
        </w:rPr>
        <w:t>Communicate and solve problems under uncertainty</w:t>
      </w:r>
    </w:p>
    <w:p w14:paraId="51D909C4" w14:textId="77777777" w:rsidR="00C2669E" w:rsidRPr="00C2669E" w:rsidRDefault="00C2669E" w:rsidP="00C2669E">
      <w:pPr>
        <w:spacing w:after="0" w:line="240" w:lineRule="auto"/>
        <w:jc w:val="both"/>
        <w:rPr>
          <w:rFonts w:eastAsia="Times New Roman" w:cstheme="minorHAnsi"/>
          <w:sz w:val="24"/>
          <w:szCs w:val="24"/>
        </w:rPr>
      </w:pPr>
      <w:r w:rsidRPr="00C2669E">
        <w:rPr>
          <w:rFonts w:eastAsia="Times New Roman" w:cstheme="minorHAnsi"/>
          <w:sz w:val="24"/>
          <w:szCs w:val="24"/>
        </w:rPr>
        <w:t>Yet many universities still deliver largely theoretical curricula, limited exposure to real workplaces, and assessment models better suited to the 20th century than the 21st.</w:t>
      </w:r>
    </w:p>
    <w:p w14:paraId="0E5897AC" w14:textId="77777777" w:rsidR="00C2669E" w:rsidRPr="00C2669E" w:rsidRDefault="00C2669E" w:rsidP="00C2669E">
      <w:pPr>
        <w:spacing w:after="0" w:line="240" w:lineRule="auto"/>
        <w:jc w:val="both"/>
        <w:rPr>
          <w:rFonts w:eastAsia="Times New Roman" w:cstheme="minorHAnsi"/>
          <w:sz w:val="24"/>
          <w:szCs w:val="24"/>
        </w:rPr>
      </w:pPr>
      <w:r w:rsidRPr="00C2669E">
        <w:rPr>
          <w:rFonts w:eastAsia="Times New Roman" w:cstheme="minorHAnsi"/>
          <w:sz w:val="24"/>
          <w:szCs w:val="24"/>
        </w:rPr>
        <w:t>There are models that work better:</w:t>
      </w:r>
    </w:p>
    <w:p w14:paraId="77BF516F" w14:textId="77777777" w:rsidR="00C2669E" w:rsidRPr="00C2669E" w:rsidRDefault="00C2669E" w:rsidP="00C2669E">
      <w:pPr>
        <w:numPr>
          <w:ilvl w:val="0"/>
          <w:numId w:val="5"/>
        </w:numPr>
        <w:spacing w:after="0" w:line="240" w:lineRule="auto"/>
        <w:jc w:val="both"/>
        <w:rPr>
          <w:rFonts w:eastAsia="Times New Roman" w:cstheme="minorHAnsi"/>
          <w:sz w:val="24"/>
          <w:szCs w:val="24"/>
        </w:rPr>
      </w:pPr>
      <w:r w:rsidRPr="00C2669E">
        <w:rPr>
          <w:rFonts w:eastAsia="Times New Roman" w:cstheme="minorHAnsi"/>
          <w:sz w:val="24"/>
          <w:szCs w:val="24"/>
        </w:rPr>
        <w:t>Germany and Switzerland embed strong apprenticeship and work-based learning into their systems, so students move back and forth between classroom and workplace.</w:t>
      </w:r>
    </w:p>
    <w:p w14:paraId="01A4191F" w14:textId="77777777" w:rsidR="00C2669E" w:rsidRPr="00C2669E" w:rsidRDefault="00C2669E" w:rsidP="00C2669E">
      <w:pPr>
        <w:numPr>
          <w:ilvl w:val="0"/>
          <w:numId w:val="5"/>
        </w:numPr>
        <w:spacing w:after="0" w:line="240" w:lineRule="auto"/>
        <w:jc w:val="both"/>
        <w:rPr>
          <w:rFonts w:eastAsia="Times New Roman" w:cstheme="minorHAnsi"/>
          <w:sz w:val="24"/>
          <w:szCs w:val="24"/>
        </w:rPr>
      </w:pPr>
      <w:r w:rsidRPr="00C2669E">
        <w:rPr>
          <w:rFonts w:eastAsia="Times New Roman" w:cstheme="minorHAnsi"/>
          <w:sz w:val="24"/>
          <w:szCs w:val="24"/>
        </w:rPr>
        <w:t xml:space="preserve">In the Middle East, initiatives linked to Saudi Vision 2030, Dubai’s education free zones, and Qatar’s Education City are experimenting with closer industry partnerships and more applied programs, though these practices are not yet system-wide. </w:t>
      </w:r>
    </w:p>
    <w:p w14:paraId="1B0C3AC0" w14:textId="77777777" w:rsidR="00C2669E" w:rsidRPr="00C2669E" w:rsidRDefault="00C2669E" w:rsidP="00C2669E">
      <w:pPr>
        <w:spacing w:after="0" w:line="240" w:lineRule="auto"/>
        <w:jc w:val="both"/>
        <w:rPr>
          <w:rFonts w:eastAsia="Times New Roman" w:cstheme="minorHAnsi"/>
          <w:sz w:val="24"/>
          <w:szCs w:val="24"/>
        </w:rPr>
      </w:pPr>
      <w:r w:rsidRPr="00C2669E">
        <w:rPr>
          <w:rFonts w:eastAsia="Times New Roman" w:cstheme="minorHAnsi"/>
          <w:sz w:val="24"/>
          <w:szCs w:val="24"/>
        </w:rPr>
        <w:t>Digital tools can strengthen this bridge: virtual internships, remote project work with companies, online mentoring, and simulation-based training. But again, they require an institutional decision to value career readiness and employability as much as research metrics.</w:t>
      </w:r>
    </w:p>
    <w:p w14:paraId="3F369095" w14:textId="2075726F" w:rsidR="00C2669E" w:rsidRPr="00C2669E" w:rsidRDefault="00C2669E" w:rsidP="00C2669E">
      <w:pPr>
        <w:spacing w:after="0" w:line="240" w:lineRule="auto"/>
        <w:jc w:val="both"/>
        <w:rPr>
          <w:rFonts w:eastAsia="Times New Roman" w:cstheme="minorHAnsi"/>
          <w:sz w:val="24"/>
          <w:szCs w:val="24"/>
        </w:rPr>
      </w:pPr>
      <w:r w:rsidRPr="00C2669E">
        <w:rPr>
          <w:rFonts w:eastAsia="Times New Roman" w:cstheme="minorHAnsi"/>
          <w:sz w:val="24"/>
          <w:szCs w:val="24"/>
        </w:rPr>
        <w:t>A ranking system that rewards graduate outcomes, employer satisfaction, and work-integrated learning</w:t>
      </w:r>
      <w:r w:rsidR="00C55465">
        <w:rPr>
          <w:rFonts w:eastAsia="Times New Roman" w:cstheme="minorHAnsi"/>
          <w:sz w:val="24"/>
          <w:szCs w:val="24"/>
        </w:rPr>
        <w:t xml:space="preserve">, </w:t>
      </w:r>
      <w:r w:rsidRPr="00C2669E">
        <w:rPr>
          <w:rFonts w:eastAsia="Times New Roman" w:cstheme="minorHAnsi"/>
          <w:sz w:val="24"/>
          <w:szCs w:val="24"/>
        </w:rPr>
        <w:t>alongside research</w:t>
      </w:r>
      <w:r w:rsidR="00C55465">
        <w:rPr>
          <w:rFonts w:eastAsia="Times New Roman" w:cstheme="minorHAnsi"/>
          <w:sz w:val="24"/>
          <w:szCs w:val="24"/>
        </w:rPr>
        <w:t xml:space="preserve">, </w:t>
      </w:r>
      <w:r w:rsidRPr="00C2669E">
        <w:rPr>
          <w:rFonts w:eastAsia="Times New Roman" w:cstheme="minorHAnsi"/>
          <w:sz w:val="24"/>
          <w:szCs w:val="24"/>
        </w:rPr>
        <w:t>would send a very different signal to university leaders than current research-heavy rankings do.</w:t>
      </w:r>
    </w:p>
    <w:p w14:paraId="077D780E" w14:textId="77777777" w:rsidR="002B7619" w:rsidRDefault="002B7619" w:rsidP="00C2669E">
      <w:pPr>
        <w:spacing w:after="0" w:line="240" w:lineRule="auto"/>
        <w:jc w:val="both"/>
        <w:outlineLvl w:val="1"/>
        <w:rPr>
          <w:rFonts w:eastAsia="Times New Roman" w:cstheme="minorHAnsi"/>
          <w:b/>
          <w:bCs/>
          <w:sz w:val="24"/>
          <w:szCs w:val="24"/>
        </w:rPr>
      </w:pPr>
    </w:p>
    <w:p w14:paraId="0B624290" w14:textId="7909C953" w:rsidR="00C2669E" w:rsidRPr="00C2669E" w:rsidRDefault="00C2669E" w:rsidP="00C2669E">
      <w:pPr>
        <w:spacing w:after="0" w:line="240" w:lineRule="auto"/>
        <w:jc w:val="both"/>
        <w:outlineLvl w:val="1"/>
        <w:rPr>
          <w:rFonts w:eastAsia="Times New Roman" w:cstheme="minorHAnsi"/>
          <w:b/>
          <w:bCs/>
          <w:sz w:val="24"/>
          <w:szCs w:val="24"/>
        </w:rPr>
      </w:pPr>
      <w:r w:rsidRPr="00C2669E">
        <w:rPr>
          <w:rFonts w:eastAsia="Times New Roman" w:cstheme="minorHAnsi"/>
          <w:b/>
          <w:bCs/>
          <w:sz w:val="24"/>
          <w:szCs w:val="24"/>
        </w:rPr>
        <w:t>5. Leadership formation in a complex world</w:t>
      </w:r>
    </w:p>
    <w:p w14:paraId="53A03A4B" w14:textId="2C74BB14" w:rsidR="00C2669E" w:rsidRPr="00C2669E" w:rsidRDefault="00C55465" w:rsidP="00C2669E">
      <w:pPr>
        <w:spacing w:after="0" w:line="240" w:lineRule="auto"/>
        <w:jc w:val="both"/>
        <w:rPr>
          <w:rFonts w:eastAsia="Times New Roman" w:cstheme="minorHAnsi"/>
          <w:sz w:val="24"/>
          <w:szCs w:val="24"/>
        </w:rPr>
      </w:pPr>
      <w:r>
        <w:rPr>
          <w:rFonts w:eastAsia="Times New Roman" w:cstheme="minorHAnsi"/>
          <w:sz w:val="24"/>
          <w:szCs w:val="24"/>
        </w:rPr>
        <w:t>Another</w:t>
      </w:r>
      <w:r w:rsidR="00C2669E" w:rsidRPr="00C2669E">
        <w:rPr>
          <w:rFonts w:eastAsia="Times New Roman" w:cstheme="minorHAnsi"/>
          <w:sz w:val="24"/>
          <w:szCs w:val="24"/>
        </w:rPr>
        <w:t xml:space="preserve"> crucial question: Are today’s universities still serious incubators of leadership? </w:t>
      </w:r>
    </w:p>
    <w:p w14:paraId="436EF969" w14:textId="77777777" w:rsidR="00C2669E" w:rsidRPr="00C2669E" w:rsidRDefault="00C2669E" w:rsidP="00C2669E">
      <w:pPr>
        <w:spacing w:after="0" w:line="240" w:lineRule="auto"/>
        <w:jc w:val="both"/>
        <w:rPr>
          <w:rFonts w:eastAsia="Times New Roman" w:cstheme="minorHAnsi"/>
          <w:sz w:val="24"/>
          <w:szCs w:val="24"/>
        </w:rPr>
      </w:pPr>
      <w:r w:rsidRPr="00C2669E">
        <w:rPr>
          <w:rFonts w:eastAsia="Times New Roman" w:cstheme="minorHAnsi"/>
          <w:sz w:val="24"/>
          <w:szCs w:val="24"/>
        </w:rPr>
        <w:t>In principle, universities should be where future leaders learn to:</w:t>
      </w:r>
    </w:p>
    <w:p w14:paraId="13630046" w14:textId="77777777" w:rsidR="00C2669E" w:rsidRPr="00C2669E" w:rsidRDefault="00C2669E" w:rsidP="00C2669E">
      <w:pPr>
        <w:numPr>
          <w:ilvl w:val="0"/>
          <w:numId w:val="6"/>
        </w:numPr>
        <w:spacing w:after="0" w:line="240" w:lineRule="auto"/>
        <w:jc w:val="both"/>
        <w:rPr>
          <w:rFonts w:eastAsia="Times New Roman" w:cstheme="minorHAnsi"/>
          <w:sz w:val="24"/>
          <w:szCs w:val="24"/>
        </w:rPr>
      </w:pPr>
      <w:r w:rsidRPr="00C2669E">
        <w:rPr>
          <w:rFonts w:eastAsia="Times New Roman" w:cstheme="minorHAnsi"/>
          <w:sz w:val="24"/>
          <w:szCs w:val="24"/>
        </w:rPr>
        <w:t>Think across disciplines</w:t>
      </w:r>
    </w:p>
    <w:p w14:paraId="580E29B6" w14:textId="77777777" w:rsidR="00C2669E" w:rsidRPr="00C2669E" w:rsidRDefault="00C2669E" w:rsidP="00C2669E">
      <w:pPr>
        <w:numPr>
          <w:ilvl w:val="0"/>
          <w:numId w:val="6"/>
        </w:numPr>
        <w:spacing w:after="0" w:line="240" w:lineRule="auto"/>
        <w:jc w:val="both"/>
        <w:rPr>
          <w:rFonts w:eastAsia="Times New Roman" w:cstheme="minorHAnsi"/>
          <w:sz w:val="24"/>
          <w:szCs w:val="24"/>
        </w:rPr>
      </w:pPr>
      <w:r w:rsidRPr="00C2669E">
        <w:rPr>
          <w:rFonts w:eastAsia="Times New Roman" w:cstheme="minorHAnsi"/>
          <w:sz w:val="24"/>
          <w:szCs w:val="24"/>
        </w:rPr>
        <w:t>Understand global systems</w:t>
      </w:r>
    </w:p>
    <w:p w14:paraId="3263125F" w14:textId="77777777" w:rsidR="00C2669E" w:rsidRPr="00C2669E" w:rsidRDefault="00C2669E" w:rsidP="00C2669E">
      <w:pPr>
        <w:numPr>
          <w:ilvl w:val="0"/>
          <w:numId w:val="6"/>
        </w:numPr>
        <w:spacing w:after="0" w:line="240" w:lineRule="auto"/>
        <w:jc w:val="both"/>
        <w:rPr>
          <w:rFonts w:eastAsia="Times New Roman" w:cstheme="minorHAnsi"/>
          <w:sz w:val="24"/>
          <w:szCs w:val="24"/>
        </w:rPr>
      </w:pPr>
      <w:r w:rsidRPr="00C2669E">
        <w:rPr>
          <w:rFonts w:eastAsia="Times New Roman" w:cstheme="minorHAnsi"/>
          <w:sz w:val="24"/>
          <w:szCs w:val="24"/>
        </w:rPr>
        <w:t>Make ethically informed decisions</w:t>
      </w:r>
    </w:p>
    <w:p w14:paraId="1DC48587" w14:textId="77777777" w:rsidR="00C2669E" w:rsidRPr="00C2669E" w:rsidRDefault="00C2669E" w:rsidP="00C2669E">
      <w:pPr>
        <w:numPr>
          <w:ilvl w:val="0"/>
          <w:numId w:val="6"/>
        </w:numPr>
        <w:spacing w:after="0" w:line="240" w:lineRule="auto"/>
        <w:jc w:val="both"/>
        <w:rPr>
          <w:rFonts w:eastAsia="Times New Roman" w:cstheme="minorHAnsi"/>
          <w:sz w:val="24"/>
          <w:szCs w:val="24"/>
        </w:rPr>
      </w:pPr>
      <w:r w:rsidRPr="00C2669E">
        <w:rPr>
          <w:rFonts w:eastAsia="Times New Roman" w:cstheme="minorHAnsi"/>
          <w:sz w:val="24"/>
          <w:szCs w:val="24"/>
        </w:rPr>
        <w:t>Work with people who are unlike them</w:t>
      </w:r>
    </w:p>
    <w:p w14:paraId="4DC084C4" w14:textId="514028C6" w:rsidR="00C2669E" w:rsidRPr="00C2669E" w:rsidRDefault="00C2669E" w:rsidP="00B4423C">
      <w:pPr>
        <w:spacing w:after="0" w:line="240" w:lineRule="auto"/>
        <w:jc w:val="both"/>
        <w:rPr>
          <w:rFonts w:eastAsia="Times New Roman" w:cstheme="minorHAnsi"/>
          <w:sz w:val="24"/>
          <w:szCs w:val="24"/>
        </w:rPr>
      </w:pPr>
      <w:r w:rsidRPr="00C2669E">
        <w:rPr>
          <w:rFonts w:eastAsia="Times New Roman" w:cstheme="minorHAnsi"/>
          <w:sz w:val="24"/>
          <w:szCs w:val="24"/>
        </w:rPr>
        <w:t xml:space="preserve">Some institutions are moving in that direction. Leadership programs in places like AUB, </w:t>
      </w:r>
      <w:r w:rsidR="00B4423C">
        <w:rPr>
          <w:rFonts w:eastAsia="Times New Roman" w:cstheme="minorHAnsi"/>
          <w:sz w:val="24"/>
          <w:szCs w:val="24"/>
        </w:rPr>
        <w:t>LAU, King Abdullah University of Science &amp; Technology (</w:t>
      </w:r>
      <w:r w:rsidRPr="00C2669E">
        <w:rPr>
          <w:rFonts w:eastAsia="Times New Roman" w:cstheme="minorHAnsi"/>
          <w:sz w:val="24"/>
          <w:szCs w:val="24"/>
        </w:rPr>
        <w:t>KAUST</w:t>
      </w:r>
      <w:r w:rsidR="00B4423C">
        <w:rPr>
          <w:rFonts w:eastAsia="Times New Roman" w:cstheme="minorHAnsi"/>
          <w:sz w:val="24"/>
          <w:szCs w:val="24"/>
        </w:rPr>
        <w:t>)</w:t>
      </w:r>
      <w:r w:rsidRPr="00C2669E">
        <w:rPr>
          <w:rFonts w:eastAsia="Times New Roman" w:cstheme="minorHAnsi"/>
          <w:sz w:val="24"/>
          <w:szCs w:val="24"/>
        </w:rPr>
        <w:t>, NYU Abu Dhabi, Georgetown Qatar, and others now incorporate global challenges, public policy, sustainability, and cross-cultural engagement. But leadership formation is easily crowded out when:</w:t>
      </w:r>
    </w:p>
    <w:p w14:paraId="6DB24012" w14:textId="77777777" w:rsidR="00C2669E" w:rsidRPr="00C2669E" w:rsidRDefault="00C2669E" w:rsidP="00C2669E">
      <w:pPr>
        <w:numPr>
          <w:ilvl w:val="0"/>
          <w:numId w:val="7"/>
        </w:numPr>
        <w:spacing w:after="0" w:line="240" w:lineRule="auto"/>
        <w:jc w:val="both"/>
        <w:rPr>
          <w:rFonts w:eastAsia="Times New Roman" w:cstheme="minorHAnsi"/>
          <w:sz w:val="24"/>
          <w:szCs w:val="24"/>
        </w:rPr>
      </w:pPr>
      <w:r w:rsidRPr="00C2669E">
        <w:rPr>
          <w:rFonts w:eastAsia="Times New Roman" w:cstheme="minorHAnsi"/>
          <w:sz w:val="24"/>
          <w:szCs w:val="24"/>
        </w:rPr>
        <w:t>Faculty promotions hinge on narrow publication metrics, not on their ability to run transformative programs.</w:t>
      </w:r>
    </w:p>
    <w:p w14:paraId="6A50EFD1" w14:textId="4F06A34A" w:rsidR="00C2669E" w:rsidRPr="00C2669E" w:rsidRDefault="00C2669E" w:rsidP="00C2669E">
      <w:pPr>
        <w:numPr>
          <w:ilvl w:val="0"/>
          <w:numId w:val="7"/>
        </w:numPr>
        <w:spacing w:after="0" w:line="240" w:lineRule="auto"/>
        <w:jc w:val="both"/>
        <w:rPr>
          <w:rFonts w:eastAsia="Times New Roman" w:cstheme="minorHAnsi"/>
          <w:sz w:val="24"/>
          <w:szCs w:val="24"/>
        </w:rPr>
      </w:pPr>
      <w:r w:rsidRPr="00C2669E">
        <w:rPr>
          <w:rFonts w:eastAsia="Times New Roman" w:cstheme="minorHAnsi"/>
          <w:sz w:val="24"/>
          <w:szCs w:val="24"/>
        </w:rPr>
        <w:t>Universities treat “leadership development” as an add-on</w:t>
      </w:r>
      <w:r w:rsidR="00B4423C">
        <w:rPr>
          <w:rFonts w:eastAsia="Times New Roman" w:cstheme="minorHAnsi"/>
          <w:sz w:val="24"/>
          <w:szCs w:val="24"/>
        </w:rPr>
        <w:t xml:space="preserve"> (</w:t>
      </w:r>
      <w:r w:rsidRPr="00C2669E">
        <w:rPr>
          <w:rFonts w:eastAsia="Times New Roman" w:cstheme="minorHAnsi"/>
          <w:sz w:val="24"/>
          <w:szCs w:val="24"/>
        </w:rPr>
        <w:t>short workshops or co-curricular badges</w:t>
      </w:r>
      <w:r w:rsidR="00B4423C">
        <w:rPr>
          <w:rFonts w:eastAsia="Times New Roman" w:cstheme="minorHAnsi"/>
          <w:sz w:val="24"/>
          <w:szCs w:val="24"/>
        </w:rPr>
        <w:t xml:space="preserve">) </w:t>
      </w:r>
      <w:r w:rsidRPr="00C2669E">
        <w:rPr>
          <w:rFonts w:eastAsia="Times New Roman" w:cstheme="minorHAnsi"/>
          <w:sz w:val="24"/>
          <w:szCs w:val="24"/>
        </w:rPr>
        <w:t>rather than something embedded throughout the curriculum.</w:t>
      </w:r>
    </w:p>
    <w:p w14:paraId="3E0D19BD" w14:textId="77777777" w:rsidR="00C2669E" w:rsidRPr="00C2669E" w:rsidRDefault="00C2669E" w:rsidP="00C2669E">
      <w:pPr>
        <w:numPr>
          <w:ilvl w:val="0"/>
          <w:numId w:val="7"/>
        </w:numPr>
        <w:spacing w:after="0" w:line="240" w:lineRule="auto"/>
        <w:jc w:val="both"/>
        <w:rPr>
          <w:rFonts w:eastAsia="Times New Roman" w:cstheme="minorHAnsi"/>
          <w:sz w:val="24"/>
          <w:szCs w:val="24"/>
        </w:rPr>
      </w:pPr>
      <w:r w:rsidRPr="00C2669E">
        <w:rPr>
          <w:rFonts w:eastAsia="Times New Roman" w:cstheme="minorHAnsi"/>
          <w:sz w:val="24"/>
          <w:szCs w:val="24"/>
        </w:rPr>
        <w:lastRenderedPageBreak/>
        <w:t>Digital transformation focuses on content delivery rather than on designing experiences where students must make decisions, collaborate, and reflect.</w:t>
      </w:r>
    </w:p>
    <w:p w14:paraId="17A14852" w14:textId="10AAB125" w:rsidR="00C2669E" w:rsidRPr="00C2669E" w:rsidRDefault="00C2669E" w:rsidP="00C2669E">
      <w:pPr>
        <w:spacing w:after="0" w:line="240" w:lineRule="auto"/>
        <w:jc w:val="both"/>
        <w:rPr>
          <w:rFonts w:eastAsia="Times New Roman" w:cstheme="minorHAnsi"/>
          <w:sz w:val="24"/>
          <w:szCs w:val="24"/>
        </w:rPr>
      </w:pPr>
      <w:r w:rsidRPr="00C2669E">
        <w:rPr>
          <w:rFonts w:eastAsia="Times New Roman" w:cstheme="minorHAnsi"/>
          <w:sz w:val="24"/>
          <w:szCs w:val="24"/>
        </w:rPr>
        <w:t>If higher education is to justify its claim to be a training ground for leaders, it has to re-elevate leadership formation</w:t>
      </w:r>
      <w:r w:rsidR="00B4423C">
        <w:rPr>
          <w:rFonts w:eastAsia="Times New Roman" w:cstheme="minorHAnsi"/>
          <w:sz w:val="24"/>
          <w:szCs w:val="24"/>
        </w:rPr>
        <w:t xml:space="preserve"> (</w:t>
      </w:r>
      <w:r w:rsidRPr="00C2669E">
        <w:rPr>
          <w:rFonts w:eastAsia="Times New Roman" w:cstheme="minorHAnsi"/>
          <w:sz w:val="24"/>
          <w:szCs w:val="24"/>
        </w:rPr>
        <w:t>ethical, inclusive, globally aware leadership</w:t>
      </w:r>
      <w:r w:rsidR="00B4423C">
        <w:rPr>
          <w:rFonts w:eastAsia="Times New Roman" w:cstheme="minorHAnsi"/>
          <w:sz w:val="24"/>
          <w:szCs w:val="24"/>
        </w:rPr>
        <w:t xml:space="preserve">) </w:t>
      </w:r>
      <w:r w:rsidRPr="00C2669E">
        <w:rPr>
          <w:rFonts w:eastAsia="Times New Roman" w:cstheme="minorHAnsi"/>
          <w:sz w:val="24"/>
          <w:szCs w:val="24"/>
        </w:rPr>
        <w:t>from the margins to the core of its mission.</w:t>
      </w:r>
    </w:p>
    <w:p w14:paraId="2EC8A442" w14:textId="77777777" w:rsidR="002B7619" w:rsidRDefault="002B7619" w:rsidP="00C2669E">
      <w:pPr>
        <w:spacing w:after="0" w:line="240" w:lineRule="auto"/>
        <w:jc w:val="both"/>
        <w:outlineLvl w:val="1"/>
        <w:rPr>
          <w:rFonts w:eastAsia="Times New Roman" w:cstheme="minorHAnsi"/>
          <w:b/>
          <w:bCs/>
          <w:sz w:val="24"/>
          <w:szCs w:val="24"/>
        </w:rPr>
      </w:pPr>
    </w:p>
    <w:p w14:paraId="02541E6E" w14:textId="73737126" w:rsidR="00C2669E" w:rsidRPr="00C2669E" w:rsidRDefault="00C2669E" w:rsidP="00C2669E">
      <w:pPr>
        <w:spacing w:after="0" w:line="240" w:lineRule="auto"/>
        <w:jc w:val="both"/>
        <w:outlineLvl w:val="1"/>
        <w:rPr>
          <w:rFonts w:eastAsia="Times New Roman" w:cstheme="minorHAnsi"/>
          <w:b/>
          <w:bCs/>
          <w:sz w:val="24"/>
          <w:szCs w:val="24"/>
        </w:rPr>
      </w:pPr>
      <w:r w:rsidRPr="00C2669E">
        <w:rPr>
          <w:rFonts w:eastAsia="Times New Roman" w:cstheme="minorHAnsi"/>
          <w:b/>
          <w:bCs/>
          <w:sz w:val="24"/>
          <w:szCs w:val="24"/>
        </w:rPr>
        <w:t>6. Redesigning incentives: from publication counts to genuine learning</w:t>
      </w:r>
    </w:p>
    <w:p w14:paraId="4B2013F8" w14:textId="31C3990C" w:rsidR="00C2669E" w:rsidRPr="00C2669E" w:rsidRDefault="00C2669E" w:rsidP="00B4423C">
      <w:pPr>
        <w:spacing w:after="0" w:line="240" w:lineRule="auto"/>
        <w:jc w:val="both"/>
        <w:rPr>
          <w:rFonts w:eastAsia="Times New Roman" w:cstheme="minorHAnsi"/>
          <w:sz w:val="24"/>
          <w:szCs w:val="24"/>
        </w:rPr>
      </w:pPr>
      <w:r w:rsidRPr="00C2669E">
        <w:rPr>
          <w:rFonts w:eastAsia="Times New Roman" w:cstheme="minorHAnsi"/>
          <w:sz w:val="24"/>
          <w:szCs w:val="24"/>
        </w:rPr>
        <w:t>Bringing this together, the retraction shock, the global power shift in higher education, and the digital transformation wave all point to the same conclusion:</w:t>
      </w:r>
      <w:r w:rsidR="00B4423C">
        <w:rPr>
          <w:rFonts w:eastAsia="Times New Roman" w:cstheme="minorHAnsi"/>
          <w:sz w:val="24"/>
          <w:szCs w:val="24"/>
        </w:rPr>
        <w:t xml:space="preserve"> </w:t>
      </w:r>
      <w:r w:rsidRPr="00C2669E">
        <w:rPr>
          <w:rFonts w:eastAsia="Times New Roman" w:cstheme="minorHAnsi"/>
          <w:sz w:val="24"/>
          <w:szCs w:val="24"/>
        </w:rPr>
        <w:t>A system that rewards volume of publication over quality of teaching will produce fake science, fragile graduates, and leaders unprepared for the world they inherit.</w:t>
      </w:r>
      <w:r w:rsidR="00B4423C">
        <w:rPr>
          <w:rFonts w:eastAsia="Times New Roman" w:cstheme="minorHAnsi"/>
          <w:sz w:val="24"/>
          <w:szCs w:val="24"/>
        </w:rPr>
        <w:t xml:space="preserve"> </w:t>
      </w:r>
      <w:r w:rsidRPr="00C2669E">
        <w:rPr>
          <w:rFonts w:eastAsia="Times New Roman" w:cstheme="minorHAnsi"/>
          <w:sz w:val="24"/>
          <w:szCs w:val="24"/>
        </w:rPr>
        <w:t xml:space="preserve">Redesigning promotion and ranking systems </w:t>
      </w:r>
      <w:proofErr w:type="gramStart"/>
      <w:r w:rsidRPr="00C2669E">
        <w:rPr>
          <w:rFonts w:eastAsia="Times New Roman" w:cstheme="minorHAnsi"/>
          <w:sz w:val="24"/>
          <w:szCs w:val="24"/>
        </w:rPr>
        <w:t>is</w:t>
      </w:r>
      <w:proofErr w:type="gramEnd"/>
      <w:r w:rsidRPr="00C2669E">
        <w:rPr>
          <w:rFonts w:eastAsia="Times New Roman" w:cstheme="minorHAnsi"/>
          <w:sz w:val="24"/>
          <w:szCs w:val="24"/>
        </w:rPr>
        <w:t xml:space="preserve"> therefore not a technical detail; it is a precondition for restoring the quality and legitimacy of higher education.</w:t>
      </w:r>
      <w:r w:rsidR="00B4423C">
        <w:rPr>
          <w:rFonts w:eastAsia="Times New Roman" w:cstheme="minorHAnsi"/>
          <w:sz w:val="24"/>
          <w:szCs w:val="24"/>
        </w:rPr>
        <w:t xml:space="preserve"> </w:t>
      </w:r>
      <w:r w:rsidRPr="00C2669E">
        <w:rPr>
          <w:rFonts w:eastAsia="Times New Roman" w:cstheme="minorHAnsi"/>
          <w:sz w:val="24"/>
          <w:szCs w:val="24"/>
        </w:rPr>
        <w:t>Concretely, that means:</w:t>
      </w:r>
    </w:p>
    <w:p w14:paraId="28AAEB3C" w14:textId="77777777" w:rsidR="00C2669E" w:rsidRPr="00B4423C" w:rsidRDefault="00C2669E" w:rsidP="00C2669E">
      <w:pPr>
        <w:numPr>
          <w:ilvl w:val="0"/>
          <w:numId w:val="8"/>
        </w:numPr>
        <w:spacing w:after="0" w:line="240" w:lineRule="auto"/>
        <w:jc w:val="both"/>
        <w:rPr>
          <w:rFonts w:eastAsia="Times New Roman" w:cstheme="minorHAnsi"/>
          <w:sz w:val="24"/>
          <w:szCs w:val="24"/>
        </w:rPr>
      </w:pPr>
      <w:r w:rsidRPr="00B4423C">
        <w:rPr>
          <w:rFonts w:eastAsia="Times New Roman" w:cstheme="minorHAnsi"/>
          <w:sz w:val="24"/>
          <w:szCs w:val="24"/>
        </w:rPr>
        <w:t>At the institutional level</w:t>
      </w:r>
    </w:p>
    <w:p w14:paraId="400F23FB" w14:textId="741DD315" w:rsidR="00C2669E" w:rsidRPr="00B4423C" w:rsidRDefault="00C2669E" w:rsidP="00B4423C">
      <w:pPr>
        <w:pStyle w:val="ListParagraph"/>
        <w:numPr>
          <w:ilvl w:val="0"/>
          <w:numId w:val="11"/>
        </w:numPr>
        <w:spacing w:after="0" w:line="240" w:lineRule="auto"/>
        <w:jc w:val="both"/>
        <w:rPr>
          <w:rFonts w:eastAsia="Times New Roman" w:cstheme="minorHAnsi"/>
          <w:sz w:val="24"/>
          <w:szCs w:val="24"/>
        </w:rPr>
      </w:pPr>
      <w:r w:rsidRPr="00B4423C">
        <w:rPr>
          <w:rFonts w:eastAsia="Times New Roman" w:cstheme="minorHAnsi"/>
          <w:sz w:val="24"/>
          <w:szCs w:val="24"/>
        </w:rPr>
        <w:t>Promotion and tenure criteria that give real weight to teaching quality, curriculum design, mentorship, and leadership in educational innovation</w:t>
      </w:r>
      <w:r w:rsidR="002E373A">
        <w:rPr>
          <w:rFonts w:eastAsia="Times New Roman" w:cstheme="minorHAnsi"/>
          <w:sz w:val="24"/>
          <w:szCs w:val="24"/>
        </w:rPr>
        <w:t xml:space="preserve"> </w:t>
      </w:r>
      <w:r w:rsidRPr="00B4423C">
        <w:rPr>
          <w:rFonts w:eastAsia="Times New Roman" w:cstheme="minorHAnsi"/>
          <w:sz w:val="24"/>
          <w:szCs w:val="24"/>
        </w:rPr>
        <w:t>not just “evidence of research.”</w:t>
      </w:r>
    </w:p>
    <w:p w14:paraId="1FE41D17" w14:textId="77777777" w:rsidR="00C2669E" w:rsidRPr="00B4423C" w:rsidRDefault="00C2669E" w:rsidP="00B4423C">
      <w:pPr>
        <w:pStyle w:val="ListParagraph"/>
        <w:numPr>
          <w:ilvl w:val="0"/>
          <w:numId w:val="11"/>
        </w:numPr>
        <w:spacing w:after="0" w:line="240" w:lineRule="auto"/>
        <w:jc w:val="both"/>
        <w:rPr>
          <w:rFonts w:eastAsia="Times New Roman" w:cstheme="minorHAnsi"/>
          <w:sz w:val="24"/>
          <w:szCs w:val="24"/>
        </w:rPr>
      </w:pPr>
      <w:r w:rsidRPr="00B4423C">
        <w:rPr>
          <w:rFonts w:eastAsia="Times New Roman" w:cstheme="minorHAnsi"/>
          <w:sz w:val="24"/>
          <w:szCs w:val="24"/>
        </w:rPr>
        <w:t>Workload models that count serious course redesign, supervision, and student support as core academic work.</w:t>
      </w:r>
    </w:p>
    <w:p w14:paraId="0D3CCB15" w14:textId="77777777" w:rsidR="00C2669E" w:rsidRPr="00B4423C" w:rsidRDefault="00C2669E" w:rsidP="00B4423C">
      <w:pPr>
        <w:pStyle w:val="ListParagraph"/>
        <w:numPr>
          <w:ilvl w:val="0"/>
          <w:numId w:val="11"/>
        </w:numPr>
        <w:spacing w:after="0" w:line="240" w:lineRule="auto"/>
        <w:jc w:val="both"/>
        <w:rPr>
          <w:rFonts w:eastAsia="Times New Roman" w:cstheme="minorHAnsi"/>
          <w:sz w:val="24"/>
          <w:szCs w:val="24"/>
        </w:rPr>
      </w:pPr>
      <w:r w:rsidRPr="00B4423C">
        <w:rPr>
          <w:rFonts w:eastAsia="Times New Roman" w:cstheme="minorHAnsi"/>
          <w:sz w:val="24"/>
          <w:szCs w:val="24"/>
        </w:rPr>
        <w:t>Digital investment decisions driven by pedagogy (What helps students learn and grow?) rather than by marketing (What looks most impressive online?).</w:t>
      </w:r>
    </w:p>
    <w:p w14:paraId="7047A24B" w14:textId="77777777" w:rsidR="00C2669E" w:rsidRPr="00B4423C" w:rsidRDefault="00C2669E" w:rsidP="00C2669E">
      <w:pPr>
        <w:numPr>
          <w:ilvl w:val="0"/>
          <w:numId w:val="8"/>
        </w:numPr>
        <w:spacing w:after="0" w:line="240" w:lineRule="auto"/>
        <w:jc w:val="both"/>
        <w:rPr>
          <w:rFonts w:eastAsia="Times New Roman" w:cstheme="minorHAnsi"/>
          <w:sz w:val="24"/>
          <w:szCs w:val="24"/>
        </w:rPr>
      </w:pPr>
      <w:r w:rsidRPr="00B4423C">
        <w:rPr>
          <w:rFonts w:eastAsia="Times New Roman" w:cstheme="minorHAnsi"/>
          <w:sz w:val="24"/>
          <w:szCs w:val="24"/>
        </w:rPr>
        <w:t>At the national and regional level</w:t>
      </w:r>
    </w:p>
    <w:p w14:paraId="072A03E5" w14:textId="730A5580" w:rsidR="00C2669E" w:rsidRPr="00B4423C" w:rsidRDefault="00C2669E" w:rsidP="00B4423C">
      <w:pPr>
        <w:pStyle w:val="ListParagraph"/>
        <w:numPr>
          <w:ilvl w:val="0"/>
          <w:numId w:val="12"/>
        </w:numPr>
        <w:spacing w:after="0" w:line="240" w:lineRule="auto"/>
        <w:jc w:val="both"/>
        <w:rPr>
          <w:rFonts w:eastAsia="Times New Roman" w:cstheme="minorHAnsi"/>
          <w:sz w:val="24"/>
          <w:szCs w:val="24"/>
        </w:rPr>
      </w:pPr>
      <w:r w:rsidRPr="00B4423C">
        <w:rPr>
          <w:rFonts w:eastAsia="Times New Roman" w:cstheme="minorHAnsi"/>
          <w:sz w:val="24"/>
          <w:szCs w:val="24"/>
        </w:rPr>
        <w:t>Quality assurance and accreditation frameworks (including in Lebanon and the wider MENA region) that explicitly evaluate teaching, learning outcomes, and graduate trajectories</w:t>
      </w:r>
      <w:r w:rsidR="002E373A">
        <w:rPr>
          <w:rFonts w:eastAsia="Times New Roman" w:cstheme="minorHAnsi"/>
          <w:sz w:val="24"/>
          <w:szCs w:val="24"/>
        </w:rPr>
        <w:t xml:space="preserve"> </w:t>
      </w:r>
      <w:r w:rsidRPr="00B4423C">
        <w:rPr>
          <w:rFonts w:eastAsia="Times New Roman" w:cstheme="minorHAnsi"/>
          <w:sz w:val="24"/>
          <w:szCs w:val="24"/>
        </w:rPr>
        <w:t xml:space="preserve">not only inputs like facilities and staff qualifications. </w:t>
      </w:r>
    </w:p>
    <w:p w14:paraId="5939A772" w14:textId="77777777" w:rsidR="00C2669E" w:rsidRPr="00B4423C" w:rsidRDefault="00C2669E" w:rsidP="00B4423C">
      <w:pPr>
        <w:pStyle w:val="ListParagraph"/>
        <w:numPr>
          <w:ilvl w:val="0"/>
          <w:numId w:val="12"/>
        </w:numPr>
        <w:spacing w:after="0" w:line="240" w:lineRule="auto"/>
        <w:jc w:val="both"/>
        <w:rPr>
          <w:rFonts w:eastAsia="Times New Roman" w:cstheme="minorHAnsi"/>
          <w:sz w:val="24"/>
          <w:szCs w:val="24"/>
        </w:rPr>
      </w:pPr>
      <w:r w:rsidRPr="00B4423C">
        <w:rPr>
          <w:rFonts w:eastAsia="Times New Roman" w:cstheme="minorHAnsi"/>
          <w:sz w:val="24"/>
          <w:szCs w:val="24"/>
        </w:rPr>
        <w:t>Incentive schemes for universities that support work-based learning, employer partnerships, and lifelong learning, especially in economies undergoing digital and green transitions.</w:t>
      </w:r>
    </w:p>
    <w:p w14:paraId="13D997DC" w14:textId="77777777" w:rsidR="00C2669E" w:rsidRPr="00B4423C" w:rsidRDefault="00C2669E" w:rsidP="00C2669E">
      <w:pPr>
        <w:numPr>
          <w:ilvl w:val="0"/>
          <w:numId w:val="8"/>
        </w:numPr>
        <w:spacing w:after="0" w:line="240" w:lineRule="auto"/>
        <w:jc w:val="both"/>
        <w:rPr>
          <w:rFonts w:eastAsia="Times New Roman" w:cstheme="minorHAnsi"/>
          <w:sz w:val="24"/>
          <w:szCs w:val="24"/>
        </w:rPr>
      </w:pPr>
      <w:r w:rsidRPr="00B4423C">
        <w:rPr>
          <w:rFonts w:eastAsia="Times New Roman" w:cstheme="minorHAnsi"/>
          <w:sz w:val="24"/>
          <w:szCs w:val="24"/>
        </w:rPr>
        <w:t>At the global level</w:t>
      </w:r>
    </w:p>
    <w:p w14:paraId="1DA3856D" w14:textId="77777777" w:rsidR="00C2669E" w:rsidRPr="00B4423C" w:rsidRDefault="00C2669E" w:rsidP="00B4423C">
      <w:pPr>
        <w:pStyle w:val="ListParagraph"/>
        <w:numPr>
          <w:ilvl w:val="0"/>
          <w:numId w:val="13"/>
        </w:numPr>
        <w:spacing w:after="0" w:line="240" w:lineRule="auto"/>
        <w:jc w:val="both"/>
        <w:rPr>
          <w:rFonts w:eastAsia="Times New Roman" w:cstheme="minorHAnsi"/>
          <w:sz w:val="24"/>
          <w:szCs w:val="24"/>
        </w:rPr>
      </w:pPr>
      <w:r w:rsidRPr="00B4423C">
        <w:rPr>
          <w:rFonts w:eastAsia="Times New Roman" w:cstheme="minorHAnsi"/>
          <w:sz w:val="24"/>
          <w:szCs w:val="24"/>
        </w:rPr>
        <w:t>Alternative ranking systems and league tables that balance research metrics with indicators of teaching quality, inclusion, and social impact.</w:t>
      </w:r>
    </w:p>
    <w:p w14:paraId="25426A69" w14:textId="1C78D37B" w:rsidR="00C2669E" w:rsidRPr="00B4423C" w:rsidRDefault="00C2669E" w:rsidP="00B4423C">
      <w:pPr>
        <w:pStyle w:val="ListParagraph"/>
        <w:numPr>
          <w:ilvl w:val="0"/>
          <w:numId w:val="13"/>
        </w:numPr>
        <w:spacing w:after="0" w:line="240" w:lineRule="auto"/>
        <w:jc w:val="both"/>
        <w:rPr>
          <w:rFonts w:eastAsia="Times New Roman" w:cstheme="minorHAnsi"/>
          <w:sz w:val="24"/>
          <w:szCs w:val="24"/>
        </w:rPr>
      </w:pPr>
      <w:r w:rsidRPr="00B4423C">
        <w:rPr>
          <w:rFonts w:eastAsia="Times New Roman" w:cstheme="minorHAnsi"/>
          <w:sz w:val="24"/>
          <w:szCs w:val="24"/>
        </w:rPr>
        <w:t>Stronger integration of retraction data and research integrity indicators into how we assess universities’ research quality</w:t>
      </w:r>
      <w:r w:rsidR="002E373A">
        <w:rPr>
          <w:rFonts w:eastAsia="Times New Roman" w:cstheme="minorHAnsi"/>
          <w:sz w:val="24"/>
          <w:szCs w:val="24"/>
        </w:rPr>
        <w:t xml:space="preserve"> </w:t>
      </w:r>
      <w:r w:rsidRPr="00B4423C">
        <w:rPr>
          <w:rFonts w:eastAsia="Times New Roman" w:cstheme="minorHAnsi"/>
          <w:sz w:val="24"/>
          <w:szCs w:val="24"/>
        </w:rPr>
        <w:t xml:space="preserve">so that “more papers” is not automatically read as “better research.” </w:t>
      </w:r>
    </w:p>
    <w:p w14:paraId="5116FC67" w14:textId="6255D9F1" w:rsidR="00C2669E" w:rsidRPr="00B4423C" w:rsidRDefault="00B4423C" w:rsidP="00C2669E">
      <w:pPr>
        <w:spacing w:after="0" w:line="240" w:lineRule="auto"/>
        <w:jc w:val="both"/>
        <w:outlineLvl w:val="1"/>
        <w:rPr>
          <w:sz w:val="24"/>
          <w:szCs w:val="24"/>
        </w:rPr>
      </w:pPr>
      <w:r w:rsidRPr="00B4423C">
        <w:rPr>
          <w:sz w:val="24"/>
          <w:szCs w:val="24"/>
        </w:rPr>
        <w:t xml:space="preserve">Redesigning incentives is therefore not a technical tweak to promotion criteria; it is a political and ethical choice about what universities are </w:t>
      </w:r>
      <w:r w:rsidRPr="00B4423C">
        <w:rPr>
          <w:rStyle w:val="Emphasis"/>
          <w:sz w:val="24"/>
          <w:szCs w:val="24"/>
        </w:rPr>
        <w:t>for</w:t>
      </w:r>
      <w:r w:rsidRPr="00B4423C">
        <w:rPr>
          <w:sz w:val="24"/>
          <w:szCs w:val="24"/>
        </w:rPr>
        <w:t>. If funding bodies, regulators, and ranking agencies continue to reward sheer publication volume, universities will keep behaving like publication factories, no matter how many speeches they make about “student-cent</w:t>
      </w:r>
      <w:r w:rsidR="00064ABC">
        <w:rPr>
          <w:sz w:val="24"/>
          <w:szCs w:val="24"/>
        </w:rPr>
        <w:t>e</w:t>
      </w:r>
      <w:r w:rsidRPr="00B4423C">
        <w:rPr>
          <w:sz w:val="24"/>
          <w:szCs w:val="24"/>
        </w:rPr>
        <w:t xml:space="preserve">red learning” or “graduate employability.” But if incentives begin to privilege the hard, slow work of curriculum design, effective teaching, mentoring, and </w:t>
      </w:r>
      <w:r w:rsidRPr="00B4423C">
        <w:rPr>
          <w:sz w:val="24"/>
          <w:szCs w:val="24"/>
        </w:rPr>
        <w:lastRenderedPageBreak/>
        <w:t>real graduate outcomes, behavior will shift. Over time, a different kind of prestige can emerge: universities known less for their citation spikes and more for the quality of their teaching, the integrity of their research, and the life chances of their graduates. The retraction shock simply makes the choice unavoidable: either we double down on a brittle metrics game, or we rebuild a system in which learning, not publication counts, becomes the core currency of value.</w:t>
      </w:r>
    </w:p>
    <w:p w14:paraId="0AC91439" w14:textId="77777777" w:rsidR="002B7619" w:rsidRDefault="002B7619" w:rsidP="00C2669E">
      <w:pPr>
        <w:spacing w:after="0" w:line="240" w:lineRule="auto"/>
        <w:jc w:val="both"/>
        <w:outlineLvl w:val="1"/>
        <w:rPr>
          <w:rFonts w:eastAsia="Times New Roman" w:cstheme="minorHAnsi"/>
          <w:b/>
          <w:bCs/>
          <w:sz w:val="24"/>
          <w:szCs w:val="24"/>
        </w:rPr>
      </w:pPr>
    </w:p>
    <w:p w14:paraId="577D2240" w14:textId="62524FB7" w:rsidR="00C2669E" w:rsidRPr="00C2669E" w:rsidRDefault="00C2669E" w:rsidP="00C2669E">
      <w:pPr>
        <w:spacing w:after="0" w:line="240" w:lineRule="auto"/>
        <w:jc w:val="both"/>
        <w:outlineLvl w:val="1"/>
        <w:rPr>
          <w:rFonts w:eastAsia="Times New Roman" w:cstheme="minorHAnsi"/>
          <w:b/>
          <w:bCs/>
          <w:sz w:val="24"/>
          <w:szCs w:val="24"/>
        </w:rPr>
      </w:pPr>
      <w:r w:rsidRPr="00C2669E">
        <w:rPr>
          <w:rFonts w:eastAsia="Times New Roman" w:cstheme="minorHAnsi"/>
          <w:b/>
          <w:bCs/>
          <w:sz w:val="24"/>
          <w:szCs w:val="24"/>
        </w:rPr>
        <w:t>7. A different definition of “world-class”</w:t>
      </w:r>
    </w:p>
    <w:p w14:paraId="7697C385" w14:textId="77777777" w:rsidR="00C2669E" w:rsidRPr="00C2669E" w:rsidRDefault="00C2669E" w:rsidP="00C2669E">
      <w:pPr>
        <w:spacing w:after="0" w:line="240" w:lineRule="auto"/>
        <w:jc w:val="both"/>
        <w:rPr>
          <w:rFonts w:eastAsia="Times New Roman" w:cstheme="minorHAnsi"/>
          <w:sz w:val="24"/>
          <w:szCs w:val="24"/>
        </w:rPr>
      </w:pPr>
      <w:r w:rsidRPr="00C2669E">
        <w:rPr>
          <w:rFonts w:eastAsia="Times New Roman" w:cstheme="minorHAnsi"/>
          <w:sz w:val="24"/>
          <w:szCs w:val="24"/>
        </w:rPr>
        <w:t>In the age of fast-moving digital transformation, being a “world-class university” cannot simply mean having more indexed papers, larger endowments, flashier campuses, or more sophisticated online platforms.</w:t>
      </w:r>
    </w:p>
    <w:p w14:paraId="7B54360C" w14:textId="42961F1E" w:rsidR="00C2669E" w:rsidRPr="00C2669E" w:rsidRDefault="00C2669E" w:rsidP="007B6A79">
      <w:pPr>
        <w:spacing w:after="0" w:line="240" w:lineRule="auto"/>
        <w:jc w:val="both"/>
        <w:rPr>
          <w:rFonts w:eastAsia="Times New Roman" w:cstheme="minorHAnsi"/>
          <w:sz w:val="24"/>
          <w:szCs w:val="24"/>
        </w:rPr>
      </w:pPr>
      <w:r w:rsidRPr="00C2669E">
        <w:rPr>
          <w:rFonts w:eastAsia="Times New Roman" w:cstheme="minorHAnsi"/>
          <w:sz w:val="24"/>
          <w:szCs w:val="24"/>
        </w:rPr>
        <w:t>A more honest and future-proof definition would sound something like this:</w:t>
      </w:r>
      <w:r w:rsidR="007B6A79">
        <w:rPr>
          <w:rFonts w:eastAsia="Times New Roman" w:cstheme="minorHAnsi"/>
          <w:sz w:val="24"/>
          <w:szCs w:val="24"/>
        </w:rPr>
        <w:t xml:space="preserve"> </w:t>
      </w:r>
      <w:r w:rsidRPr="00C2669E">
        <w:rPr>
          <w:rFonts w:eastAsia="Times New Roman" w:cstheme="minorHAnsi"/>
          <w:sz w:val="24"/>
          <w:szCs w:val="24"/>
        </w:rPr>
        <w:t>A world-class university is one that uses its resources</w:t>
      </w:r>
      <w:r w:rsidR="007B6A79">
        <w:rPr>
          <w:rFonts w:eastAsia="Times New Roman" w:cstheme="minorHAnsi"/>
          <w:sz w:val="24"/>
          <w:szCs w:val="24"/>
        </w:rPr>
        <w:t xml:space="preserve"> (</w:t>
      </w:r>
      <w:r w:rsidRPr="00C2669E">
        <w:rPr>
          <w:rFonts w:eastAsia="Times New Roman" w:cstheme="minorHAnsi"/>
          <w:sz w:val="24"/>
          <w:szCs w:val="24"/>
        </w:rPr>
        <w:t>human, financial, and digital</w:t>
      </w:r>
      <w:r w:rsidR="007B6A79">
        <w:rPr>
          <w:rFonts w:eastAsia="Times New Roman" w:cstheme="minorHAnsi"/>
          <w:sz w:val="24"/>
          <w:szCs w:val="24"/>
        </w:rPr>
        <w:t xml:space="preserve">) </w:t>
      </w:r>
      <w:r w:rsidRPr="00C2669E">
        <w:rPr>
          <w:rFonts w:eastAsia="Times New Roman" w:cstheme="minorHAnsi"/>
          <w:sz w:val="24"/>
          <w:szCs w:val="24"/>
        </w:rPr>
        <w:t>to maximize three things: truthful knowledge, deep learning, and the formation of responsible leaders.</w:t>
      </w:r>
    </w:p>
    <w:p w14:paraId="749DC7F2" w14:textId="74EECA21" w:rsidR="00C2669E" w:rsidRPr="00C2669E" w:rsidRDefault="00C2669E" w:rsidP="007B6A79">
      <w:pPr>
        <w:spacing w:after="0" w:line="240" w:lineRule="auto"/>
        <w:jc w:val="both"/>
        <w:rPr>
          <w:rFonts w:eastAsia="Times New Roman" w:cstheme="minorHAnsi"/>
          <w:sz w:val="24"/>
          <w:szCs w:val="24"/>
        </w:rPr>
      </w:pPr>
      <w:r w:rsidRPr="00C2669E">
        <w:rPr>
          <w:rFonts w:eastAsia="Times New Roman" w:cstheme="minorHAnsi"/>
          <w:sz w:val="24"/>
          <w:szCs w:val="24"/>
        </w:rPr>
        <w:t>Mass retractions remind us what happens when we neglect truthful knowledge. The persistent gap between graduates’ skills and labor-market needs shows what happens when we neglect deep learning and career relevance. The crises of governance, inequality, and trust all around us suggest what happens when we neglect leadership formation.</w:t>
      </w:r>
      <w:r w:rsidR="007B6A79">
        <w:rPr>
          <w:rFonts w:eastAsia="Times New Roman" w:cstheme="minorHAnsi"/>
          <w:sz w:val="24"/>
          <w:szCs w:val="24"/>
        </w:rPr>
        <w:t xml:space="preserve"> </w:t>
      </w:r>
      <w:r w:rsidRPr="00C2669E">
        <w:rPr>
          <w:rFonts w:eastAsia="Times New Roman" w:cstheme="minorHAnsi"/>
          <w:sz w:val="24"/>
          <w:szCs w:val="24"/>
        </w:rPr>
        <w:t>Digital tools can help fix these failures, but only if we first realign what we value and reward.</w:t>
      </w:r>
      <w:r w:rsidR="007B6A79">
        <w:rPr>
          <w:rFonts w:eastAsia="Times New Roman" w:cstheme="minorHAnsi"/>
          <w:sz w:val="24"/>
          <w:szCs w:val="24"/>
        </w:rPr>
        <w:t xml:space="preserve"> </w:t>
      </w:r>
      <w:r w:rsidRPr="00C2669E">
        <w:rPr>
          <w:rFonts w:eastAsia="Times New Roman" w:cstheme="minorHAnsi"/>
          <w:sz w:val="24"/>
          <w:szCs w:val="24"/>
        </w:rPr>
        <w:t>Until we redesign promotion systems, ranking criteria, and funding models around genuine learning, ethical scholarship, and societal impact, the quality of higher education will remai</w:t>
      </w:r>
      <w:r w:rsidRPr="007B6A79">
        <w:rPr>
          <w:rFonts w:eastAsia="Times New Roman" w:cstheme="minorHAnsi"/>
          <w:sz w:val="24"/>
          <w:szCs w:val="24"/>
        </w:rPr>
        <w:t>n fragile</w:t>
      </w:r>
      <w:r w:rsidR="007B6A79" w:rsidRPr="007B6A79">
        <w:rPr>
          <w:rFonts w:eastAsia="Times New Roman" w:cstheme="minorHAnsi"/>
          <w:sz w:val="24"/>
          <w:szCs w:val="24"/>
        </w:rPr>
        <w:t xml:space="preserve"> </w:t>
      </w:r>
      <w:r w:rsidRPr="007B6A79">
        <w:rPr>
          <w:rFonts w:eastAsia="Times New Roman" w:cstheme="minorHAnsi"/>
          <w:sz w:val="24"/>
          <w:szCs w:val="24"/>
        </w:rPr>
        <w:t xml:space="preserve">no matter how good the Wi-Fi is, how modern the </w:t>
      </w:r>
      <w:r w:rsidR="007B6A79" w:rsidRPr="007B6A79">
        <w:rPr>
          <w:sz w:val="24"/>
          <w:szCs w:val="24"/>
        </w:rPr>
        <w:t>Learning Management System</w:t>
      </w:r>
      <w:r w:rsidR="007B6A79">
        <w:rPr>
          <w:rFonts w:eastAsia="Times New Roman" w:cstheme="minorHAnsi"/>
          <w:sz w:val="24"/>
          <w:szCs w:val="24"/>
        </w:rPr>
        <w:t xml:space="preserve"> (</w:t>
      </w:r>
      <w:r w:rsidRPr="00C2669E">
        <w:rPr>
          <w:rFonts w:eastAsia="Times New Roman" w:cstheme="minorHAnsi"/>
          <w:sz w:val="24"/>
          <w:szCs w:val="24"/>
        </w:rPr>
        <w:t>LMS</w:t>
      </w:r>
      <w:r w:rsidR="007B6A79">
        <w:rPr>
          <w:rFonts w:eastAsia="Times New Roman" w:cstheme="minorHAnsi"/>
          <w:sz w:val="24"/>
          <w:szCs w:val="24"/>
        </w:rPr>
        <w:t>)</w:t>
      </w:r>
      <w:r w:rsidRPr="00C2669E">
        <w:rPr>
          <w:rFonts w:eastAsia="Times New Roman" w:cstheme="minorHAnsi"/>
          <w:sz w:val="24"/>
          <w:szCs w:val="24"/>
        </w:rPr>
        <w:t xml:space="preserve"> feels, or how high our institutions sit in the rankings.</w:t>
      </w:r>
    </w:p>
    <w:p w14:paraId="709E5701" w14:textId="77777777" w:rsidR="002B7619" w:rsidRDefault="002B7619" w:rsidP="009218E4">
      <w:pPr>
        <w:pStyle w:val="NormalWeb"/>
        <w:spacing w:before="0" w:beforeAutospacing="0" w:after="0" w:afterAutospacing="0"/>
        <w:jc w:val="both"/>
        <w:rPr>
          <w:rStyle w:val="Strong"/>
          <w:rFonts w:asciiTheme="minorHAnsi" w:hAnsiTheme="minorHAnsi" w:cstheme="minorHAnsi"/>
        </w:rPr>
      </w:pPr>
    </w:p>
    <w:p w14:paraId="6C17E6EB" w14:textId="5F198208" w:rsidR="009218E4" w:rsidRPr="0044172C" w:rsidRDefault="009218E4" w:rsidP="009218E4">
      <w:pPr>
        <w:pStyle w:val="NormalWeb"/>
        <w:spacing w:before="0" w:beforeAutospacing="0" w:after="0" w:afterAutospacing="0"/>
        <w:jc w:val="both"/>
        <w:rPr>
          <w:rFonts w:asciiTheme="minorHAnsi" w:hAnsiTheme="minorHAnsi" w:cstheme="minorHAnsi"/>
        </w:rPr>
      </w:pPr>
      <w:r w:rsidRPr="0044172C">
        <w:rPr>
          <w:rStyle w:val="Strong"/>
          <w:rFonts w:asciiTheme="minorHAnsi" w:hAnsiTheme="minorHAnsi" w:cstheme="minorHAnsi"/>
        </w:rPr>
        <w:t>Background References</w:t>
      </w:r>
    </w:p>
    <w:p w14:paraId="6E034C52" w14:textId="37916A76" w:rsidR="00C2669E" w:rsidRPr="009218E4" w:rsidRDefault="00C2669E" w:rsidP="009218E4">
      <w:pPr>
        <w:pStyle w:val="ListParagraph"/>
        <w:numPr>
          <w:ilvl w:val="0"/>
          <w:numId w:val="9"/>
        </w:numPr>
        <w:spacing w:after="0" w:line="240" w:lineRule="auto"/>
        <w:jc w:val="both"/>
        <w:rPr>
          <w:rFonts w:eastAsia="Times New Roman" w:cstheme="minorHAnsi"/>
          <w:sz w:val="20"/>
          <w:szCs w:val="20"/>
        </w:rPr>
      </w:pPr>
      <w:proofErr w:type="spellStart"/>
      <w:r w:rsidRPr="009218E4">
        <w:rPr>
          <w:rFonts w:eastAsia="Times New Roman" w:cstheme="minorHAnsi"/>
          <w:sz w:val="20"/>
          <w:szCs w:val="20"/>
        </w:rPr>
        <w:t>Badiuzzaman</w:t>
      </w:r>
      <w:proofErr w:type="spellEnd"/>
      <w:r w:rsidRPr="009218E4">
        <w:rPr>
          <w:rFonts w:eastAsia="Times New Roman" w:cstheme="minorHAnsi"/>
          <w:sz w:val="20"/>
          <w:szCs w:val="20"/>
        </w:rPr>
        <w:t xml:space="preserve">, M. D. (2025). </w:t>
      </w:r>
      <w:r w:rsidRPr="009218E4">
        <w:rPr>
          <w:rFonts w:eastAsia="Times New Roman" w:cstheme="minorHAnsi"/>
          <w:i/>
          <w:iCs/>
          <w:sz w:val="20"/>
          <w:szCs w:val="20"/>
        </w:rPr>
        <w:t>Unpacking the metrics: A critical analysis of the 2025 QS World University Rankings using Australian university data</w:t>
      </w:r>
      <w:r w:rsidRPr="009218E4">
        <w:rPr>
          <w:rFonts w:eastAsia="Times New Roman" w:cstheme="minorHAnsi"/>
          <w:sz w:val="20"/>
          <w:szCs w:val="20"/>
        </w:rPr>
        <w:t xml:space="preserve">. Frontiers in Education, 10, 1619897. </w:t>
      </w:r>
      <w:hyperlink r:id="rId8" w:history="1">
        <w:r w:rsidR="009218E4" w:rsidRPr="00252568">
          <w:rPr>
            <w:rStyle w:val="Hyperlink"/>
            <w:rFonts w:eastAsia="Times New Roman" w:cstheme="minorHAnsi"/>
            <w:sz w:val="20"/>
            <w:szCs w:val="20"/>
          </w:rPr>
          <w:t>https://doi.org/10.3389/feduc.2025.1619897</w:t>
        </w:r>
      </w:hyperlink>
      <w:r w:rsidR="00173FFA">
        <w:rPr>
          <w:rStyle w:val="Hyperlink"/>
          <w:rFonts w:eastAsia="Times New Roman" w:cstheme="minorHAnsi"/>
          <w:sz w:val="20"/>
          <w:szCs w:val="20"/>
        </w:rPr>
        <w:t xml:space="preserve"> </w:t>
      </w:r>
      <w:r w:rsidR="009218E4">
        <w:rPr>
          <w:rFonts w:eastAsia="Times New Roman" w:cstheme="minorHAnsi"/>
          <w:sz w:val="20"/>
          <w:szCs w:val="20"/>
        </w:rPr>
        <w:t xml:space="preserve"> </w:t>
      </w:r>
    </w:p>
    <w:p w14:paraId="0F93DC8E" w14:textId="77777777" w:rsidR="00C2669E" w:rsidRPr="009218E4" w:rsidRDefault="00C2669E" w:rsidP="009218E4">
      <w:pPr>
        <w:pStyle w:val="ListParagraph"/>
        <w:numPr>
          <w:ilvl w:val="0"/>
          <w:numId w:val="9"/>
        </w:numPr>
        <w:spacing w:after="0" w:line="240" w:lineRule="auto"/>
        <w:jc w:val="both"/>
        <w:rPr>
          <w:rFonts w:eastAsia="Times New Roman" w:cstheme="minorHAnsi"/>
          <w:sz w:val="20"/>
          <w:szCs w:val="20"/>
        </w:rPr>
      </w:pPr>
      <w:proofErr w:type="spellStart"/>
      <w:r w:rsidRPr="009218E4">
        <w:rPr>
          <w:rFonts w:eastAsia="Times New Roman" w:cstheme="minorHAnsi"/>
          <w:sz w:val="20"/>
          <w:szCs w:val="20"/>
        </w:rPr>
        <w:t>Faeth</w:t>
      </w:r>
      <w:proofErr w:type="spellEnd"/>
      <w:r w:rsidRPr="009218E4">
        <w:rPr>
          <w:rFonts w:eastAsia="Times New Roman" w:cstheme="minorHAnsi"/>
          <w:sz w:val="20"/>
          <w:szCs w:val="20"/>
        </w:rPr>
        <w:t xml:space="preserve">, K. (2025, October 30). </w:t>
      </w:r>
      <w:r w:rsidRPr="009218E4">
        <w:rPr>
          <w:rFonts w:eastAsia="Times New Roman" w:cstheme="minorHAnsi"/>
          <w:i/>
          <w:iCs/>
          <w:sz w:val="20"/>
          <w:szCs w:val="20"/>
        </w:rPr>
        <w:t>Retraction awareness: Equipping researchers with timely insights</w:t>
      </w:r>
      <w:r w:rsidRPr="009218E4">
        <w:rPr>
          <w:rFonts w:eastAsia="Times New Roman" w:cstheme="minorHAnsi"/>
          <w:sz w:val="20"/>
          <w:szCs w:val="20"/>
        </w:rPr>
        <w:t xml:space="preserve">. Clarivate Academia &amp; Government Blog. </w:t>
      </w:r>
      <w:hyperlink r:id="rId9" w:tgtFrame="_new" w:history="1">
        <w:r w:rsidRPr="009218E4">
          <w:rPr>
            <w:rFonts w:eastAsia="Times New Roman" w:cstheme="minorHAnsi"/>
            <w:color w:val="0000FF"/>
            <w:sz w:val="20"/>
            <w:szCs w:val="20"/>
            <w:u w:val="single"/>
          </w:rPr>
          <w:t>https://clarivate.com/academia-government/blog/retraction-awareness-equipping-researchers-with-timely-insights/</w:t>
        </w:r>
      </w:hyperlink>
    </w:p>
    <w:p w14:paraId="76D019E6" w14:textId="1AC83631" w:rsidR="00C2669E" w:rsidRPr="009218E4" w:rsidRDefault="00C2669E" w:rsidP="009218E4">
      <w:pPr>
        <w:pStyle w:val="ListParagraph"/>
        <w:numPr>
          <w:ilvl w:val="0"/>
          <w:numId w:val="9"/>
        </w:numPr>
        <w:spacing w:after="0" w:line="240" w:lineRule="auto"/>
        <w:jc w:val="both"/>
        <w:rPr>
          <w:rFonts w:eastAsia="Times New Roman" w:cstheme="minorHAnsi"/>
          <w:sz w:val="20"/>
          <w:szCs w:val="20"/>
        </w:rPr>
      </w:pPr>
      <w:r w:rsidRPr="009218E4">
        <w:rPr>
          <w:rFonts w:eastAsia="Times New Roman" w:cstheme="minorHAnsi"/>
          <w:sz w:val="20"/>
          <w:szCs w:val="20"/>
        </w:rPr>
        <w:t xml:space="preserve">Kincaid, E. (2023, December 19). </w:t>
      </w:r>
      <w:proofErr w:type="spellStart"/>
      <w:r w:rsidRPr="009218E4">
        <w:rPr>
          <w:rFonts w:eastAsia="Times New Roman" w:cstheme="minorHAnsi"/>
          <w:i/>
          <w:iCs/>
          <w:sz w:val="20"/>
          <w:szCs w:val="20"/>
        </w:rPr>
        <w:t>Hindawi</w:t>
      </w:r>
      <w:proofErr w:type="spellEnd"/>
      <w:r w:rsidRPr="009218E4">
        <w:rPr>
          <w:rFonts w:eastAsia="Times New Roman" w:cstheme="minorHAnsi"/>
          <w:i/>
          <w:iCs/>
          <w:sz w:val="20"/>
          <w:szCs w:val="20"/>
        </w:rPr>
        <w:t xml:space="preserve"> reveals process for retracting more than 8,000 paper mill articles</w:t>
      </w:r>
      <w:r w:rsidRPr="009218E4">
        <w:rPr>
          <w:rFonts w:eastAsia="Times New Roman" w:cstheme="minorHAnsi"/>
          <w:sz w:val="20"/>
          <w:szCs w:val="20"/>
        </w:rPr>
        <w:t xml:space="preserve">. Retraction Watch. </w:t>
      </w:r>
      <w:hyperlink r:id="rId10" w:tgtFrame="_new" w:history="1">
        <w:r w:rsidRPr="009218E4">
          <w:rPr>
            <w:rFonts w:eastAsia="Times New Roman" w:cstheme="minorHAnsi"/>
            <w:color w:val="0000FF"/>
            <w:sz w:val="20"/>
            <w:szCs w:val="20"/>
            <w:u w:val="single"/>
          </w:rPr>
          <w:t>https://retractionwatch.com/2023/12/19/hindawi-reveals-process-for-retracting-more-than-8000-paper-mill-articles/</w:t>
        </w:r>
      </w:hyperlink>
    </w:p>
    <w:p w14:paraId="287E94C7" w14:textId="7E44731E" w:rsidR="00C2669E" w:rsidRPr="009218E4" w:rsidRDefault="00C2669E" w:rsidP="009218E4">
      <w:pPr>
        <w:pStyle w:val="ListParagraph"/>
        <w:numPr>
          <w:ilvl w:val="0"/>
          <w:numId w:val="9"/>
        </w:numPr>
        <w:spacing w:after="0" w:line="240" w:lineRule="auto"/>
        <w:jc w:val="both"/>
        <w:rPr>
          <w:rFonts w:eastAsia="Times New Roman" w:cstheme="minorHAnsi"/>
          <w:sz w:val="20"/>
          <w:szCs w:val="20"/>
        </w:rPr>
      </w:pPr>
      <w:r w:rsidRPr="009218E4">
        <w:rPr>
          <w:rFonts w:eastAsia="Times New Roman" w:cstheme="minorHAnsi"/>
          <w:sz w:val="20"/>
          <w:szCs w:val="20"/>
        </w:rPr>
        <w:t xml:space="preserve">Lam, E. T. H. (2023, November 10). </w:t>
      </w:r>
      <w:r w:rsidRPr="009218E4">
        <w:rPr>
          <w:rFonts w:eastAsia="Times New Roman" w:cstheme="minorHAnsi"/>
          <w:i/>
          <w:iCs/>
          <w:sz w:val="20"/>
          <w:szCs w:val="20"/>
        </w:rPr>
        <w:t xml:space="preserve">Why articles get retracted: Analysis of </w:t>
      </w:r>
      <w:proofErr w:type="spellStart"/>
      <w:r w:rsidRPr="009218E4">
        <w:rPr>
          <w:rFonts w:eastAsia="Times New Roman" w:cstheme="minorHAnsi"/>
          <w:i/>
          <w:iCs/>
          <w:sz w:val="20"/>
          <w:szCs w:val="20"/>
        </w:rPr>
        <w:t>Crossref’s</w:t>
      </w:r>
      <w:proofErr w:type="spellEnd"/>
      <w:r w:rsidRPr="009218E4">
        <w:rPr>
          <w:rFonts w:eastAsia="Times New Roman" w:cstheme="minorHAnsi"/>
          <w:i/>
          <w:iCs/>
          <w:sz w:val="20"/>
          <w:szCs w:val="20"/>
        </w:rPr>
        <w:t xml:space="preserve"> Retraction Watch Dataset</w:t>
      </w:r>
      <w:r w:rsidRPr="009218E4">
        <w:rPr>
          <w:rFonts w:eastAsia="Times New Roman" w:cstheme="minorHAnsi"/>
          <w:sz w:val="20"/>
          <w:szCs w:val="20"/>
        </w:rPr>
        <w:t xml:space="preserve">. HKUST Library Research Bridge. </w:t>
      </w:r>
      <w:hyperlink r:id="rId11" w:history="1">
        <w:r w:rsidR="009218E4" w:rsidRPr="00252568">
          <w:rPr>
            <w:rStyle w:val="Hyperlink"/>
            <w:rFonts w:eastAsia="Times New Roman" w:cstheme="minorHAnsi"/>
            <w:sz w:val="20"/>
            <w:szCs w:val="20"/>
          </w:rPr>
          <w:t>https://library.hkust.edu.hk/news/why-articles-get-retracted-analysis-of-crossrefs-retraction-watch-dataset/</w:t>
        </w:r>
      </w:hyperlink>
      <w:r w:rsidR="009218E4">
        <w:rPr>
          <w:rFonts w:eastAsia="Times New Roman" w:cstheme="minorHAnsi"/>
          <w:sz w:val="20"/>
          <w:szCs w:val="20"/>
        </w:rPr>
        <w:t xml:space="preserve"> </w:t>
      </w:r>
    </w:p>
    <w:p w14:paraId="1B1E5277" w14:textId="23013F96" w:rsidR="00C2669E" w:rsidRPr="009218E4" w:rsidRDefault="00C2669E" w:rsidP="009218E4">
      <w:pPr>
        <w:pStyle w:val="ListParagraph"/>
        <w:numPr>
          <w:ilvl w:val="0"/>
          <w:numId w:val="9"/>
        </w:numPr>
        <w:spacing w:after="0" w:line="240" w:lineRule="auto"/>
        <w:jc w:val="both"/>
        <w:rPr>
          <w:rFonts w:eastAsia="Times New Roman" w:cstheme="minorHAnsi"/>
          <w:sz w:val="20"/>
          <w:szCs w:val="20"/>
        </w:rPr>
      </w:pPr>
      <w:r w:rsidRPr="009218E4">
        <w:rPr>
          <w:rFonts w:eastAsia="Times New Roman" w:cstheme="minorHAnsi"/>
          <w:sz w:val="20"/>
          <w:szCs w:val="20"/>
        </w:rPr>
        <w:t xml:space="preserve">Meho, L. I. (in press). Gaming the metrics: Bibliometric anomalies in global university rankings and the Research Integrity Risk Index (RI²). </w:t>
      </w:r>
      <w:proofErr w:type="spellStart"/>
      <w:r w:rsidRPr="009218E4">
        <w:rPr>
          <w:rFonts w:eastAsia="Times New Roman" w:cstheme="minorHAnsi"/>
          <w:i/>
          <w:iCs/>
          <w:sz w:val="20"/>
          <w:szCs w:val="20"/>
        </w:rPr>
        <w:t>Scientometrics</w:t>
      </w:r>
      <w:proofErr w:type="spellEnd"/>
      <w:r w:rsidRPr="009218E4">
        <w:rPr>
          <w:rFonts w:eastAsia="Times New Roman" w:cstheme="minorHAnsi"/>
          <w:sz w:val="20"/>
          <w:szCs w:val="20"/>
        </w:rPr>
        <w:t>.</w:t>
      </w:r>
      <w:r w:rsidR="009218E4">
        <w:rPr>
          <w:rFonts w:eastAsia="Times New Roman" w:cstheme="minorHAnsi"/>
          <w:sz w:val="20"/>
          <w:szCs w:val="20"/>
        </w:rPr>
        <w:t xml:space="preserve"> </w:t>
      </w:r>
    </w:p>
    <w:p w14:paraId="754E4D3C" w14:textId="77777777" w:rsidR="00C2669E" w:rsidRPr="009218E4" w:rsidRDefault="00C2669E" w:rsidP="009218E4">
      <w:pPr>
        <w:pStyle w:val="ListParagraph"/>
        <w:numPr>
          <w:ilvl w:val="0"/>
          <w:numId w:val="9"/>
        </w:numPr>
        <w:spacing w:after="0" w:line="240" w:lineRule="auto"/>
        <w:jc w:val="both"/>
        <w:rPr>
          <w:rFonts w:eastAsia="Times New Roman" w:cstheme="minorHAnsi"/>
          <w:sz w:val="20"/>
          <w:szCs w:val="20"/>
        </w:rPr>
      </w:pPr>
      <w:r w:rsidRPr="009218E4">
        <w:rPr>
          <w:rFonts w:eastAsia="Times New Roman" w:cstheme="minorHAnsi"/>
          <w:sz w:val="20"/>
          <w:szCs w:val="20"/>
        </w:rPr>
        <w:t xml:space="preserve">Office for Students. (2023). </w:t>
      </w:r>
      <w:r w:rsidRPr="009218E4">
        <w:rPr>
          <w:rFonts w:eastAsia="Times New Roman" w:cstheme="minorHAnsi"/>
          <w:i/>
          <w:iCs/>
          <w:sz w:val="20"/>
          <w:szCs w:val="20"/>
        </w:rPr>
        <w:t>About the Teaching Excellence Framework (TEF)</w:t>
      </w:r>
      <w:r w:rsidRPr="009218E4">
        <w:rPr>
          <w:rFonts w:eastAsia="Times New Roman" w:cstheme="minorHAnsi"/>
          <w:sz w:val="20"/>
          <w:szCs w:val="20"/>
        </w:rPr>
        <w:t xml:space="preserve">. </w:t>
      </w:r>
      <w:hyperlink r:id="rId12" w:tgtFrame="_new" w:history="1">
        <w:r w:rsidRPr="009218E4">
          <w:rPr>
            <w:rFonts w:eastAsia="Times New Roman" w:cstheme="minorHAnsi"/>
            <w:color w:val="0000FF"/>
            <w:sz w:val="20"/>
            <w:szCs w:val="20"/>
            <w:u w:val="single"/>
          </w:rPr>
          <w:t>https://www.officeforstudents.org.uk/for-providers/quality-and-standards/about-the-tef/</w:t>
        </w:r>
      </w:hyperlink>
    </w:p>
    <w:p w14:paraId="57F5E4DE" w14:textId="77777777" w:rsidR="00C2669E" w:rsidRPr="009218E4" w:rsidRDefault="00C2669E" w:rsidP="009218E4">
      <w:pPr>
        <w:pStyle w:val="ListParagraph"/>
        <w:numPr>
          <w:ilvl w:val="0"/>
          <w:numId w:val="9"/>
        </w:numPr>
        <w:spacing w:after="0" w:line="240" w:lineRule="auto"/>
        <w:jc w:val="both"/>
        <w:rPr>
          <w:rFonts w:eastAsia="Times New Roman" w:cstheme="minorHAnsi"/>
          <w:sz w:val="20"/>
          <w:szCs w:val="20"/>
        </w:rPr>
      </w:pPr>
      <w:r w:rsidRPr="009218E4">
        <w:rPr>
          <w:rFonts w:eastAsia="Times New Roman" w:cstheme="minorHAnsi"/>
          <w:sz w:val="20"/>
          <w:szCs w:val="20"/>
        </w:rPr>
        <w:lastRenderedPageBreak/>
        <w:t xml:space="preserve">QS </w:t>
      </w:r>
      <w:proofErr w:type="spellStart"/>
      <w:r w:rsidRPr="009218E4">
        <w:rPr>
          <w:rFonts w:eastAsia="Times New Roman" w:cstheme="minorHAnsi"/>
          <w:sz w:val="20"/>
          <w:szCs w:val="20"/>
        </w:rPr>
        <w:t>TopUniversities</w:t>
      </w:r>
      <w:proofErr w:type="spellEnd"/>
      <w:r w:rsidRPr="009218E4">
        <w:rPr>
          <w:rFonts w:eastAsia="Times New Roman" w:cstheme="minorHAnsi"/>
          <w:sz w:val="20"/>
          <w:szCs w:val="20"/>
        </w:rPr>
        <w:t xml:space="preserve">. (2025, June 12). </w:t>
      </w:r>
      <w:r w:rsidRPr="009218E4">
        <w:rPr>
          <w:rFonts w:eastAsia="Times New Roman" w:cstheme="minorHAnsi"/>
          <w:i/>
          <w:iCs/>
          <w:sz w:val="20"/>
          <w:szCs w:val="20"/>
        </w:rPr>
        <w:t>QS World University Rankings: Methodology</w:t>
      </w:r>
      <w:r w:rsidRPr="009218E4">
        <w:rPr>
          <w:rFonts w:eastAsia="Times New Roman" w:cstheme="minorHAnsi"/>
          <w:sz w:val="20"/>
          <w:szCs w:val="20"/>
        </w:rPr>
        <w:t xml:space="preserve">. </w:t>
      </w:r>
      <w:hyperlink r:id="rId13" w:tgtFrame="_new" w:history="1">
        <w:r w:rsidRPr="009218E4">
          <w:rPr>
            <w:rFonts w:eastAsia="Times New Roman" w:cstheme="minorHAnsi"/>
            <w:color w:val="0000FF"/>
            <w:sz w:val="20"/>
            <w:szCs w:val="20"/>
            <w:u w:val="single"/>
          </w:rPr>
          <w:t>https://www.topuniversities.com/world-university-rankings/methodology</w:t>
        </w:r>
      </w:hyperlink>
    </w:p>
    <w:p w14:paraId="0F59EC0C" w14:textId="77777777" w:rsidR="00C2669E" w:rsidRPr="009218E4" w:rsidRDefault="00C2669E" w:rsidP="009218E4">
      <w:pPr>
        <w:pStyle w:val="ListParagraph"/>
        <w:numPr>
          <w:ilvl w:val="0"/>
          <w:numId w:val="9"/>
        </w:numPr>
        <w:spacing w:after="0" w:line="240" w:lineRule="auto"/>
        <w:jc w:val="both"/>
        <w:rPr>
          <w:rFonts w:eastAsia="Times New Roman" w:cstheme="minorHAnsi"/>
          <w:sz w:val="20"/>
          <w:szCs w:val="20"/>
        </w:rPr>
      </w:pPr>
      <w:r w:rsidRPr="009218E4">
        <w:rPr>
          <w:rFonts w:eastAsia="Times New Roman" w:cstheme="minorHAnsi"/>
          <w:sz w:val="20"/>
          <w:szCs w:val="20"/>
        </w:rPr>
        <w:t xml:space="preserve">Retraction Watch. (2024). </w:t>
      </w:r>
      <w:r w:rsidRPr="009218E4">
        <w:rPr>
          <w:rFonts w:eastAsia="Times New Roman" w:cstheme="minorHAnsi"/>
          <w:i/>
          <w:iCs/>
          <w:sz w:val="20"/>
          <w:szCs w:val="20"/>
        </w:rPr>
        <w:t>Retraction Watch Database</w:t>
      </w:r>
      <w:r w:rsidRPr="009218E4">
        <w:rPr>
          <w:rFonts w:eastAsia="Times New Roman" w:cstheme="minorHAnsi"/>
          <w:sz w:val="20"/>
          <w:szCs w:val="20"/>
        </w:rPr>
        <w:t xml:space="preserve">. The Center for Scientific Integrity. </w:t>
      </w:r>
      <w:hyperlink r:id="rId14" w:tgtFrame="_new" w:history="1">
        <w:r w:rsidRPr="009218E4">
          <w:rPr>
            <w:rFonts w:eastAsia="Times New Roman" w:cstheme="minorHAnsi"/>
            <w:color w:val="0000FF"/>
            <w:sz w:val="20"/>
            <w:szCs w:val="20"/>
            <w:u w:val="single"/>
          </w:rPr>
          <w:t>https://retractiondatabase.org</w:t>
        </w:r>
      </w:hyperlink>
    </w:p>
    <w:p w14:paraId="07C14235" w14:textId="77777777" w:rsidR="00C2669E" w:rsidRPr="009218E4" w:rsidRDefault="00C2669E" w:rsidP="009218E4">
      <w:pPr>
        <w:pStyle w:val="ListParagraph"/>
        <w:numPr>
          <w:ilvl w:val="0"/>
          <w:numId w:val="9"/>
        </w:numPr>
        <w:spacing w:after="0" w:line="240" w:lineRule="auto"/>
        <w:jc w:val="both"/>
        <w:rPr>
          <w:rFonts w:eastAsia="Times New Roman" w:cstheme="minorHAnsi"/>
          <w:sz w:val="20"/>
          <w:szCs w:val="20"/>
        </w:rPr>
      </w:pPr>
      <w:r w:rsidRPr="009218E4">
        <w:rPr>
          <w:rFonts w:eastAsia="Times New Roman" w:cstheme="minorHAnsi"/>
          <w:sz w:val="20"/>
          <w:szCs w:val="20"/>
        </w:rPr>
        <w:t xml:space="preserve">Times Higher Education. (2024). </w:t>
      </w:r>
      <w:r w:rsidRPr="009218E4">
        <w:rPr>
          <w:rFonts w:eastAsia="Times New Roman" w:cstheme="minorHAnsi"/>
          <w:i/>
          <w:iCs/>
          <w:sz w:val="20"/>
          <w:szCs w:val="20"/>
        </w:rPr>
        <w:t>World University Rankings 2025: Methodology</w:t>
      </w:r>
      <w:r w:rsidRPr="009218E4">
        <w:rPr>
          <w:rFonts w:eastAsia="Times New Roman" w:cstheme="minorHAnsi"/>
          <w:sz w:val="20"/>
          <w:szCs w:val="20"/>
        </w:rPr>
        <w:t xml:space="preserve"> [PDF]. </w:t>
      </w:r>
      <w:hyperlink r:id="rId15" w:tgtFrame="_new" w:history="1">
        <w:r w:rsidRPr="009218E4">
          <w:rPr>
            <w:rFonts w:eastAsia="Times New Roman" w:cstheme="minorHAnsi"/>
            <w:color w:val="0000FF"/>
            <w:sz w:val="20"/>
            <w:szCs w:val="20"/>
            <w:u w:val="single"/>
          </w:rPr>
          <w:t>https://www.timeshighereducation.com/world-university-rankings/methodology</w:t>
        </w:r>
      </w:hyperlink>
    </w:p>
    <w:p w14:paraId="1C15A76D" w14:textId="77777777" w:rsidR="00C2669E" w:rsidRPr="009218E4" w:rsidRDefault="00C2669E" w:rsidP="009218E4">
      <w:pPr>
        <w:pStyle w:val="ListParagraph"/>
        <w:numPr>
          <w:ilvl w:val="0"/>
          <w:numId w:val="9"/>
        </w:numPr>
        <w:spacing w:after="0" w:line="240" w:lineRule="auto"/>
        <w:jc w:val="both"/>
        <w:rPr>
          <w:rFonts w:eastAsia="Times New Roman" w:cstheme="minorHAnsi"/>
          <w:sz w:val="20"/>
          <w:szCs w:val="20"/>
        </w:rPr>
      </w:pPr>
      <w:r w:rsidRPr="009218E4">
        <w:rPr>
          <w:rFonts w:eastAsia="Times New Roman" w:cstheme="minorHAnsi"/>
          <w:sz w:val="20"/>
          <w:szCs w:val="20"/>
        </w:rPr>
        <w:t xml:space="preserve">Travis, K. (2025, February 17). </w:t>
      </w:r>
      <w:r w:rsidRPr="009218E4">
        <w:rPr>
          <w:rFonts w:eastAsia="Times New Roman" w:cstheme="minorHAnsi"/>
          <w:i/>
          <w:iCs/>
          <w:sz w:val="20"/>
          <w:szCs w:val="20"/>
        </w:rPr>
        <w:t>Springer Nature retracted 2,923 papers last year</w:t>
      </w:r>
      <w:r w:rsidRPr="009218E4">
        <w:rPr>
          <w:rFonts w:eastAsia="Times New Roman" w:cstheme="minorHAnsi"/>
          <w:sz w:val="20"/>
          <w:szCs w:val="20"/>
        </w:rPr>
        <w:t xml:space="preserve">. Retraction Watch. </w:t>
      </w:r>
      <w:hyperlink r:id="rId16" w:tgtFrame="_new" w:history="1">
        <w:r w:rsidRPr="009218E4">
          <w:rPr>
            <w:rFonts w:eastAsia="Times New Roman" w:cstheme="minorHAnsi"/>
            <w:color w:val="0000FF"/>
            <w:sz w:val="20"/>
            <w:szCs w:val="20"/>
            <w:u w:val="single"/>
          </w:rPr>
          <w:t>https://retractionwatch.com/2025/02/17/springer-nature-journal-retractions-2024/</w:t>
        </w:r>
      </w:hyperlink>
    </w:p>
    <w:p w14:paraId="05C4AE9C" w14:textId="77777777" w:rsidR="00C2669E" w:rsidRPr="009218E4" w:rsidRDefault="00C2669E" w:rsidP="009218E4">
      <w:pPr>
        <w:pStyle w:val="ListParagraph"/>
        <w:numPr>
          <w:ilvl w:val="0"/>
          <w:numId w:val="9"/>
        </w:numPr>
        <w:spacing w:after="0" w:line="240" w:lineRule="auto"/>
        <w:jc w:val="both"/>
        <w:rPr>
          <w:rFonts w:eastAsia="Times New Roman" w:cstheme="minorHAnsi"/>
          <w:sz w:val="20"/>
          <w:szCs w:val="20"/>
        </w:rPr>
      </w:pPr>
      <w:r w:rsidRPr="009218E4">
        <w:rPr>
          <w:rFonts w:eastAsia="Times New Roman" w:cstheme="minorHAnsi"/>
          <w:sz w:val="20"/>
          <w:szCs w:val="20"/>
        </w:rPr>
        <w:t xml:space="preserve">UCAS. (2023). </w:t>
      </w:r>
      <w:r w:rsidRPr="009218E4">
        <w:rPr>
          <w:rFonts w:eastAsia="Times New Roman" w:cstheme="minorHAnsi"/>
          <w:i/>
          <w:iCs/>
          <w:sz w:val="20"/>
          <w:szCs w:val="20"/>
        </w:rPr>
        <w:t>The Teaching Excellence Framework (TEF)</w:t>
      </w:r>
      <w:r w:rsidRPr="009218E4">
        <w:rPr>
          <w:rFonts w:eastAsia="Times New Roman" w:cstheme="minorHAnsi"/>
          <w:sz w:val="20"/>
          <w:szCs w:val="20"/>
        </w:rPr>
        <w:t xml:space="preserve">. Universities and Colleges Admissions Service. </w:t>
      </w:r>
      <w:hyperlink r:id="rId17" w:tgtFrame="_new" w:history="1">
        <w:r w:rsidRPr="009218E4">
          <w:rPr>
            <w:rFonts w:eastAsia="Times New Roman" w:cstheme="minorHAnsi"/>
            <w:color w:val="0000FF"/>
            <w:sz w:val="20"/>
            <w:szCs w:val="20"/>
            <w:u w:val="single"/>
          </w:rPr>
          <w:t>https://www.ucas.com/applying/you-apply/what-and-where-study/study-options/teaching-excellence-framework-tef</w:t>
        </w:r>
      </w:hyperlink>
    </w:p>
    <w:p w14:paraId="656B3803" w14:textId="77777777" w:rsidR="00C2669E" w:rsidRPr="009218E4" w:rsidRDefault="00C2669E" w:rsidP="009218E4">
      <w:pPr>
        <w:pStyle w:val="ListParagraph"/>
        <w:numPr>
          <w:ilvl w:val="0"/>
          <w:numId w:val="9"/>
        </w:numPr>
        <w:spacing w:after="0" w:line="240" w:lineRule="auto"/>
        <w:jc w:val="both"/>
        <w:rPr>
          <w:rFonts w:eastAsia="Times New Roman" w:cstheme="minorHAnsi"/>
          <w:sz w:val="20"/>
          <w:szCs w:val="20"/>
        </w:rPr>
      </w:pPr>
      <w:r w:rsidRPr="009218E4">
        <w:rPr>
          <w:rFonts w:eastAsia="Times New Roman" w:cstheme="minorHAnsi"/>
          <w:sz w:val="20"/>
          <w:szCs w:val="20"/>
          <w:lang w:val="fr-FR"/>
        </w:rPr>
        <w:t xml:space="preserve">Université de Liège Library. (2024, </w:t>
      </w:r>
      <w:proofErr w:type="spellStart"/>
      <w:r w:rsidRPr="009218E4">
        <w:rPr>
          <w:rFonts w:eastAsia="Times New Roman" w:cstheme="minorHAnsi"/>
          <w:sz w:val="20"/>
          <w:szCs w:val="20"/>
          <w:lang w:val="fr-FR"/>
        </w:rPr>
        <w:t>November</w:t>
      </w:r>
      <w:proofErr w:type="spellEnd"/>
      <w:r w:rsidRPr="009218E4">
        <w:rPr>
          <w:rFonts w:eastAsia="Times New Roman" w:cstheme="minorHAnsi"/>
          <w:sz w:val="20"/>
          <w:szCs w:val="20"/>
          <w:lang w:val="fr-FR"/>
        </w:rPr>
        <w:t xml:space="preserve"> 25). </w:t>
      </w:r>
      <w:r w:rsidRPr="009218E4">
        <w:rPr>
          <w:rFonts w:eastAsia="Times New Roman" w:cstheme="minorHAnsi"/>
          <w:i/>
          <w:iCs/>
          <w:sz w:val="20"/>
          <w:szCs w:val="20"/>
        </w:rPr>
        <w:t>10,000 fraudulent articles withdrawn from scientific journals in 2023</w:t>
      </w:r>
      <w:r w:rsidRPr="009218E4">
        <w:rPr>
          <w:rFonts w:eastAsia="Times New Roman" w:cstheme="minorHAnsi"/>
          <w:sz w:val="20"/>
          <w:szCs w:val="20"/>
        </w:rPr>
        <w:t xml:space="preserve">. </w:t>
      </w:r>
      <w:proofErr w:type="spellStart"/>
      <w:r w:rsidRPr="009218E4">
        <w:rPr>
          <w:rFonts w:eastAsia="Times New Roman" w:cstheme="minorHAnsi"/>
          <w:sz w:val="20"/>
          <w:szCs w:val="20"/>
        </w:rPr>
        <w:t>ULiège</w:t>
      </w:r>
      <w:proofErr w:type="spellEnd"/>
      <w:r w:rsidRPr="009218E4">
        <w:rPr>
          <w:rFonts w:eastAsia="Times New Roman" w:cstheme="minorHAnsi"/>
          <w:sz w:val="20"/>
          <w:szCs w:val="20"/>
        </w:rPr>
        <w:t xml:space="preserve"> Library – Open Science News. </w:t>
      </w:r>
      <w:hyperlink r:id="rId18" w:tgtFrame="_new" w:history="1">
        <w:r w:rsidRPr="009218E4">
          <w:rPr>
            <w:rFonts w:eastAsia="Times New Roman" w:cstheme="minorHAnsi"/>
            <w:color w:val="0000FF"/>
            <w:sz w:val="20"/>
            <w:szCs w:val="20"/>
            <w:u w:val="single"/>
          </w:rPr>
          <w:t>https://lib.uliege.be/en/news/10000-fraudulent-articles-withdrawn-scientific-journals-2023</w:t>
        </w:r>
      </w:hyperlink>
    </w:p>
    <w:p w14:paraId="5D50C4C6" w14:textId="77777777" w:rsidR="00C2669E" w:rsidRPr="009218E4" w:rsidRDefault="00C2669E" w:rsidP="009218E4">
      <w:pPr>
        <w:pStyle w:val="ListParagraph"/>
        <w:numPr>
          <w:ilvl w:val="0"/>
          <w:numId w:val="9"/>
        </w:numPr>
        <w:spacing w:after="0" w:line="240" w:lineRule="auto"/>
        <w:jc w:val="both"/>
        <w:rPr>
          <w:rFonts w:eastAsia="Times New Roman" w:cstheme="minorHAnsi"/>
          <w:sz w:val="20"/>
          <w:szCs w:val="20"/>
          <w:lang w:val="fr-FR"/>
        </w:rPr>
      </w:pPr>
      <w:r w:rsidRPr="009218E4">
        <w:rPr>
          <w:rFonts w:eastAsia="Times New Roman" w:cstheme="minorHAnsi"/>
          <w:sz w:val="20"/>
          <w:szCs w:val="20"/>
        </w:rPr>
        <w:t xml:space="preserve">Van </w:t>
      </w:r>
      <w:proofErr w:type="spellStart"/>
      <w:r w:rsidRPr="009218E4">
        <w:rPr>
          <w:rFonts w:eastAsia="Times New Roman" w:cstheme="minorHAnsi"/>
          <w:sz w:val="20"/>
          <w:szCs w:val="20"/>
        </w:rPr>
        <w:t>Noorden</w:t>
      </w:r>
      <w:proofErr w:type="spellEnd"/>
      <w:r w:rsidRPr="009218E4">
        <w:rPr>
          <w:rFonts w:eastAsia="Times New Roman" w:cstheme="minorHAnsi"/>
          <w:sz w:val="20"/>
          <w:szCs w:val="20"/>
        </w:rPr>
        <w:t xml:space="preserve">, R. (2023). More than 10,000 research papers were retracted in 2023—a new record. </w:t>
      </w:r>
      <w:r w:rsidRPr="009218E4">
        <w:rPr>
          <w:rFonts w:eastAsia="Times New Roman" w:cstheme="minorHAnsi"/>
          <w:i/>
          <w:iCs/>
          <w:sz w:val="20"/>
          <w:szCs w:val="20"/>
          <w:lang w:val="fr-FR"/>
        </w:rPr>
        <w:t>Nature, 624</w:t>
      </w:r>
      <w:r w:rsidRPr="009218E4">
        <w:rPr>
          <w:rFonts w:eastAsia="Times New Roman" w:cstheme="minorHAnsi"/>
          <w:sz w:val="20"/>
          <w:szCs w:val="20"/>
          <w:lang w:val="fr-FR"/>
        </w:rPr>
        <w:t xml:space="preserve">, 479–481. </w:t>
      </w:r>
      <w:hyperlink r:id="rId19" w:tgtFrame="_new" w:history="1">
        <w:r w:rsidRPr="009218E4">
          <w:rPr>
            <w:rFonts w:eastAsia="Times New Roman" w:cstheme="minorHAnsi"/>
            <w:color w:val="0000FF"/>
            <w:sz w:val="20"/>
            <w:szCs w:val="20"/>
            <w:u w:val="single"/>
            <w:lang w:val="fr-FR"/>
          </w:rPr>
          <w:t>https://doi.org/10.1038/d41586-023-03974-8</w:t>
        </w:r>
      </w:hyperlink>
    </w:p>
    <w:p w14:paraId="7E99B92A" w14:textId="335E6B0E" w:rsidR="00C2669E" w:rsidRPr="009218E4" w:rsidRDefault="00C2669E" w:rsidP="009218E4">
      <w:pPr>
        <w:pStyle w:val="ListParagraph"/>
        <w:numPr>
          <w:ilvl w:val="0"/>
          <w:numId w:val="9"/>
        </w:numPr>
        <w:spacing w:after="0" w:line="240" w:lineRule="auto"/>
        <w:jc w:val="both"/>
        <w:rPr>
          <w:rFonts w:eastAsia="Times New Roman" w:cstheme="minorHAnsi"/>
          <w:sz w:val="20"/>
          <w:szCs w:val="20"/>
        </w:rPr>
      </w:pPr>
      <w:r w:rsidRPr="00123D65">
        <w:rPr>
          <w:rFonts w:eastAsia="Times New Roman" w:cstheme="minorHAnsi"/>
          <w:sz w:val="20"/>
          <w:szCs w:val="20"/>
        </w:rPr>
        <w:t xml:space="preserve">Zilberman, T., Margalit, I., </w:t>
      </w:r>
      <w:proofErr w:type="spellStart"/>
      <w:r w:rsidRPr="00123D65">
        <w:rPr>
          <w:rFonts w:eastAsia="Times New Roman" w:cstheme="minorHAnsi"/>
          <w:sz w:val="20"/>
          <w:szCs w:val="20"/>
        </w:rPr>
        <w:t>Yahav</w:t>
      </w:r>
      <w:proofErr w:type="spellEnd"/>
      <w:r w:rsidRPr="00123D65">
        <w:rPr>
          <w:rFonts w:eastAsia="Times New Roman" w:cstheme="minorHAnsi"/>
          <w:sz w:val="20"/>
          <w:szCs w:val="20"/>
        </w:rPr>
        <w:t xml:space="preserve">, D., &amp; Tau, N. (2023). </w:t>
      </w:r>
      <w:r w:rsidRPr="009218E4">
        <w:rPr>
          <w:rFonts w:eastAsia="Times New Roman" w:cstheme="minorHAnsi"/>
          <w:sz w:val="20"/>
          <w:szCs w:val="20"/>
        </w:rPr>
        <w:t xml:space="preserve">Retracted publications in infectious diseases and clinical microbiology literature: An analysis using the Retraction Watch database. </w:t>
      </w:r>
      <w:r w:rsidRPr="009218E4">
        <w:rPr>
          <w:rFonts w:eastAsia="Times New Roman" w:cstheme="minorHAnsi"/>
          <w:i/>
          <w:iCs/>
          <w:sz w:val="20"/>
          <w:szCs w:val="20"/>
        </w:rPr>
        <w:t>Clinical Microbiology and Infection, 29</w:t>
      </w:r>
      <w:r w:rsidRPr="009218E4">
        <w:rPr>
          <w:rFonts w:eastAsia="Times New Roman" w:cstheme="minorHAnsi"/>
          <w:sz w:val="20"/>
          <w:szCs w:val="20"/>
        </w:rPr>
        <w:t xml:space="preserve">(11), 1454.e1–1454.e3. </w:t>
      </w:r>
      <w:hyperlink r:id="rId20" w:history="1">
        <w:r w:rsidR="009218E4" w:rsidRPr="00252568">
          <w:rPr>
            <w:rStyle w:val="Hyperlink"/>
            <w:rFonts w:eastAsia="Times New Roman" w:cstheme="minorHAnsi"/>
            <w:sz w:val="20"/>
            <w:szCs w:val="20"/>
          </w:rPr>
          <w:t>https://doi.org/10.1016/j.cmi.2023.07.022</w:t>
        </w:r>
      </w:hyperlink>
      <w:r w:rsidR="009218E4">
        <w:rPr>
          <w:rFonts w:eastAsia="Times New Roman" w:cstheme="minorHAnsi"/>
          <w:sz w:val="20"/>
          <w:szCs w:val="20"/>
        </w:rPr>
        <w:t xml:space="preserve"> </w:t>
      </w:r>
    </w:p>
    <w:p w14:paraId="22C8C0C9" w14:textId="5BBECEA4" w:rsidR="00C2669E" w:rsidRPr="009218E4" w:rsidRDefault="009218E4" w:rsidP="00C2669E">
      <w:pPr>
        <w:spacing w:after="0" w:line="240" w:lineRule="auto"/>
        <w:jc w:val="both"/>
        <w:rPr>
          <w:rFonts w:cstheme="minorHAnsi"/>
          <w:i/>
          <w:iCs/>
          <w:sz w:val="20"/>
          <w:szCs w:val="20"/>
        </w:rPr>
      </w:pPr>
      <w:r w:rsidRPr="009218E4">
        <w:rPr>
          <w:b/>
          <w:bCs/>
          <w:i/>
          <w:iCs/>
          <w:sz w:val="20"/>
          <w:szCs w:val="20"/>
        </w:rPr>
        <w:t>Note on Use of References.</w:t>
      </w:r>
      <w:r w:rsidRPr="009218E4">
        <w:rPr>
          <w:i/>
          <w:iCs/>
          <w:sz w:val="20"/>
          <w:szCs w:val="20"/>
        </w:rPr>
        <w:t xml:space="preserve"> The references listed here are background sources that informed the design, framing, and argument of this paper on the quality of higher education in an age of rapid digital transformation. They were used to understand recent trends in mass retractions and research integrity, the methodologies and incentives embedded in global university rankings, and emerging approaches to evaluating teaching quality and learning outcomes (such as the Teaching Excellence Framework). To keep the main text focused, readable, and non-technical, these works are not cited systematically inside the document. Any interpretations, emphases, or errors remain the sole responsibility of the author, whose thinking was guided</w:t>
      </w:r>
      <w:r>
        <w:rPr>
          <w:i/>
          <w:iCs/>
          <w:sz w:val="20"/>
          <w:szCs w:val="20"/>
        </w:rPr>
        <w:t xml:space="preserve">, </w:t>
      </w:r>
      <w:r w:rsidRPr="009218E4">
        <w:rPr>
          <w:i/>
          <w:iCs/>
          <w:sz w:val="20"/>
          <w:szCs w:val="20"/>
        </w:rPr>
        <w:t>but never dictated</w:t>
      </w:r>
      <w:r>
        <w:rPr>
          <w:i/>
          <w:iCs/>
          <w:sz w:val="20"/>
          <w:szCs w:val="20"/>
        </w:rPr>
        <w:t xml:space="preserve">, </w:t>
      </w:r>
      <w:r w:rsidRPr="009218E4">
        <w:rPr>
          <w:i/>
          <w:iCs/>
          <w:sz w:val="20"/>
          <w:szCs w:val="20"/>
        </w:rPr>
        <w:t>by these sources.</w:t>
      </w:r>
    </w:p>
    <w:sectPr w:rsidR="00C2669E" w:rsidRPr="009218E4" w:rsidSect="009218E4">
      <w:headerReference w:type="default" r:id="rId21"/>
      <w:pgSz w:w="12240" w:h="15840"/>
      <w:pgMar w:top="1872" w:right="1872" w:bottom="1872" w:left="187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87A3D" w14:textId="77777777" w:rsidR="004A42AE" w:rsidRDefault="004A42AE" w:rsidP="00D41DA3">
      <w:pPr>
        <w:spacing w:after="0" w:line="240" w:lineRule="auto"/>
      </w:pPr>
      <w:r>
        <w:separator/>
      </w:r>
    </w:p>
  </w:endnote>
  <w:endnote w:type="continuationSeparator" w:id="0">
    <w:p w14:paraId="3A14D20A" w14:textId="77777777" w:rsidR="004A42AE" w:rsidRDefault="004A42AE" w:rsidP="00D41D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0C448" w14:textId="77777777" w:rsidR="004A42AE" w:rsidRDefault="004A42AE" w:rsidP="00D41DA3">
      <w:pPr>
        <w:spacing w:after="0" w:line="240" w:lineRule="auto"/>
      </w:pPr>
      <w:r>
        <w:separator/>
      </w:r>
    </w:p>
  </w:footnote>
  <w:footnote w:type="continuationSeparator" w:id="0">
    <w:p w14:paraId="23115B59" w14:textId="77777777" w:rsidR="004A42AE" w:rsidRDefault="004A42AE" w:rsidP="00D41DA3">
      <w:pPr>
        <w:spacing w:after="0" w:line="240" w:lineRule="auto"/>
      </w:pPr>
      <w:r>
        <w:continuationSeparator/>
      </w:r>
    </w:p>
  </w:footnote>
  <w:footnote w:id="1">
    <w:p w14:paraId="406A2B23" w14:textId="0BC3AD73" w:rsidR="007559A6" w:rsidRPr="007559A6" w:rsidRDefault="007559A6" w:rsidP="007559A6">
      <w:pPr>
        <w:spacing w:after="0" w:line="240" w:lineRule="auto"/>
        <w:jc w:val="both"/>
        <w:rPr>
          <w:rFonts w:ascii="Arial Narrow" w:eastAsia="Times New Roman" w:hAnsi="Arial Narrow" w:cstheme="minorHAnsi"/>
          <w:i/>
          <w:iCs/>
          <w:sz w:val="20"/>
          <w:szCs w:val="20"/>
        </w:rPr>
      </w:pPr>
      <w:r w:rsidRPr="007559A6">
        <w:rPr>
          <w:rStyle w:val="FootnoteReference"/>
          <w:rFonts w:ascii="Arial Narrow" w:hAnsi="Arial Narrow"/>
          <w:sz w:val="20"/>
          <w:szCs w:val="20"/>
        </w:rPr>
        <w:footnoteRef/>
      </w:r>
      <w:r w:rsidRPr="007559A6">
        <w:rPr>
          <w:rFonts w:ascii="Arial Narrow" w:hAnsi="Arial Narrow"/>
          <w:sz w:val="20"/>
          <w:szCs w:val="20"/>
        </w:rPr>
        <w:t xml:space="preserve"> Author: </w:t>
      </w:r>
      <w:r w:rsidRPr="0000471C">
        <w:rPr>
          <w:rFonts w:ascii="Arial Narrow" w:eastAsia="Times New Roman" w:hAnsi="Arial Narrow" w:cstheme="minorHAnsi"/>
          <w:b/>
          <w:bCs/>
          <w:sz w:val="20"/>
          <w:szCs w:val="20"/>
        </w:rPr>
        <w:t>Mohammad Ibrahim Fheili</w:t>
      </w:r>
      <w:r w:rsidRPr="007559A6">
        <w:rPr>
          <w:rFonts w:ascii="Arial Narrow" w:eastAsia="Times New Roman" w:hAnsi="Arial Narrow" w:cstheme="minorHAnsi"/>
          <w:b/>
          <w:bCs/>
          <w:sz w:val="20"/>
          <w:szCs w:val="20"/>
        </w:rPr>
        <w:t xml:space="preserve">, </w:t>
      </w:r>
      <w:r w:rsidRPr="007559A6">
        <w:rPr>
          <w:rFonts w:ascii="Arial Narrow" w:eastAsia="Times New Roman" w:hAnsi="Arial Narrow" w:cstheme="minorHAnsi"/>
          <w:i/>
          <w:iCs/>
          <w:sz w:val="20"/>
          <w:szCs w:val="20"/>
        </w:rPr>
        <w:t xml:space="preserve">Risk Strategist, Political &amp; Monetary Economist, and Executive in Residence at the Suliman S. Olayan School of Business (OSB) at the American University of Beirut (AUB). Email: </w:t>
      </w:r>
      <w:hyperlink r:id="rId1" w:history="1">
        <w:r w:rsidRPr="007559A6">
          <w:rPr>
            <w:rStyle w:val="Hyperlink"/>
            <w:rFonts w:ascii="Arial Narrow" w:eastAsia="Times New Roman" w:hAnsi="Arial Narrow" w:cstheme="minorHAnsi"/>
            <w:i/>
            <w:iCs/>
            <w:sz w:val="20"/>
            <w:szCs w:val="20"/>
          </w:rPr>
          <w:t>mifheili@gmail.com</w:t>
        </w:r>
      </w:hyperlink>
      <w:r w:rsidRPr="007559A6">
        <w:rPr>
          <w:rFonts w:ascii="Arial Narrow" w:eastAsia="Times New Roman" w:hAnsi="Arial Narrow" w:cstheme="minorHAnsi"/>
          <w:i/>
          <w:iCs/>
          <w:sz w:val="20"/>
          <w:szCs w:val="20"/>
        </w:rPr>
        <w:t xml:space="preserve"> Mobile: +9613337175 </w:t>
      </w:r>
    </w:p>
    <w:p w14:paraId="2E2723D0" w14:textId="4405B84E" w:rsidR="007559A6" w:rsidRDefault="007559A6">
      <w:pPr>
        <w:pStyle w:val="FootnoteText"/>
      </w:pPr>
    </w:p>
  </w:footnote>
  <w:footnote w:id="2">
    <w:p w14:paraId="3EC01C12" w14:textId="77777777" w:rsidR="007559A6" w:rsidRPr="007559A6" w:rsidRDefault="007559A6" w:rsidP="007559A6">
      <w:pPr>
        <w:spacing w:after="0" w:line="240" w:lineRule="auto"/>
        <w:jc w:val="both"/>
        <w:rPr>
          <w:rFonts w:ascii="Arial Narrow" w:hAnsi="Arial Narrow"/>
          <w:sz w:val="18"/>
          <w:szCs w:val="18"/>
        </w:rPr>
      </w:pPr>
      <w:r>
        <w:rPr>
          <w:rStyle w:val="FootnoteReference"/>
        </w:rPr>
        <w:footnoteRef/>
      </w:r>
      <w:r>
        <w:t xml:space="preserve"> </w:t>
      </w:r>
      <w:r w:rsidRPr="007559A6">
        <w:rPr>
          <w:rStyle w:val="Strong"/>
          <w:rFonts w:ascii="Arial Narrow" w:hAnsi="Arial Narrow"/>
          <w:sz w:val="18"/>
          <w:szCs w:val="18"/>
        </w:rPr>
        <w:t>How retractions are tracked today</w:t>
      </w:r>
      <w:r w:rsidRPr="007559A6">
        <w:rPr>
          <w:rFonts w:ascii="Arial Narrow" w:hAnsi="Arial Narrow"/>
          <w:sz w:val="18"/>
          <w:szCs w:val="18"/>
        </w:rPr>
        <w:t xml:space="preserve">. </w:t>
      </w:r>
    </w:p>
    <w:p w14:paraId="6B01C590" w14:textId="77777777" w:rsidR="007559A6" w:rsidRPr="007559A6" w:rsidRDefault="007559A6" w:rsidP="007559A6">
      <w:pPr>
        <w:spacing w:after="0" w:line="240" w:lineRule="auto"/>
        <w:jc w:val="both"/>
        <w:rPr>
          <w:rFonts w:ascii="Arial Narrow" w:hAnsi="Arial Narrow"/>
          <w:sz w:val="18"/>
          <w:szCs w:val="18"/>
        </w:rPr>
      </w:pPr>
      <w:r w:rsidRPr="007559A6">
        <w:rPr>
          <w:rFonts w:ascii="Arial Narrow" w:hAnsi="Arial Narrow"/>
          <w:sz w:val="18"/>
          <w:szCs w:val="18"/>
        </w:rPr>
        <w:t>Retractions are no longer hidden in the back pages of journals. A set of overlapping infrastructures now acts as de-facto global “retraction monitor”:</w:t>
      </w:r>
    </w:p>
    <w:p w14:paraId="3E051C26" w14:textId="77777777" w:rsidR="007559A6" w:rsidRPr="007559A6" w:rsidRDefault="007559A6" w:rsidP="007559A6">
      <w:pPr>
        <w:pStyle w:val="ListParagraph"/>
        <w:numPr>
          <w:ilvl w:val="0"/>
          <w:numId w:val="14"/>
        </w:numPr>
        <w:spacing w:after="0" w:line="240" w:lineRule="auto"/>
        <w:jc w:val="both"/>
        <w:rPr>
          <w:rFonts w:ascii="Arial Narrow" w:hAnsi="Arial Narrow"/>
          <w:sz w:val="18"/>
          <w:szCs w:val="18"/>
        </w:rPr>
      </w:pPr>
      <w:r w:rsidRPr="007559A6">
        <w:rPr>
          <w:rStyle w:val="Strong"/>
          <w:rFonts w:ascii="Arial Narrow" w:hAnsi="Arial Narrow"/>
          <w:sz w:val="18"/>
          <w:szCs w:val="18"/>
        </w:rPr>
        <w:t xml:space="preserve">Retraction Watch Database (via </w:t>
      </w:r>
      <w:proofErr w:type="spellStart"/>
      <w:r w:rsidRPr="007559A6">
        <w:rPr>
          <w:rStyle w:val="Strong"/>
          <w:rFonts w:ascii="Arial Narrow" w:hAnsi="Arial Narrow"/>
          <w:sz w:val="18"/>
          <w:szCs w:val="18"/>
        </w:rPr>
        <w:t>Crossref</w:t>
      </w:r>
      <w:proofErr w:type="spellEnd"/>
      <w:r w:rsidRPr="007559A6">
        <w:rPr>
          <w:rStyle w:val="Strong"/>
          <w:rFonts w:ascii="Arial Narrow" w:hAnsi="Arial Narrow"/>
          <w:sz w:val="18"/>
          <w:szCs w:val="18"/>
        </w:rPr>
        <w:t>).</w:t>
      </w:r>
      <w:r w:rsidRPr="007559A6">
        <w:rPr>
          <w:rFonts w:ascii="Arial Narrow" w:hAnsi="Arial Narrow"/>
          <w:sz w:val="18"/>
          <w:szCs w:val="18"/>
        </w:rPr>
        <w:t xml:space="preserve"> Since 2023, </w:t>
      </w:r>
      <w:proofErr w:type="spellStart"/>
      <w:r w:rsidRPr="007559A6">
        <w:rPr>
          <w:rFonts w:ascii="Arial Narrow" w:hAnsi="Arial Narrow"/>
          <w:sz w:val="18"/>
          <w:szCs w:val="18"/>
        </w:rPr>
        <w:t>Crossref</w:t>
      </w:r>
      <w:proofErr w:type="spellEnd"/>
      <w:r w:rsidRPr="007559A6">
        <w:rPr>
          <w:rFonts w:ascii="Arial Narrow" w:hAnsi="Arial Narrow"/>
          <w:sz w:val="18"/>
          <w:szCs w:val="18"/>
        </w:rPr>
        <w:t xml:space="preserve"> has acquired and opened the Retraction Watch Database, which aggregates tens of thousands of retractions from publisher websites and updates them daily; the data are freely available and integrated into </w:t>
      </w:r>
      <w:proofErr w:type="spellStart"/>
      <w:r w:rsidRPr="007559A6">
        <w:rPr>
          <w:rFonts w:ascii="Arial Narrow" w:hAnsi="Arial Narrow"/>
          <w:sz w:val="18"/>
          <w:szCs w:val="18"/>
        </w:rPr>
        <w:t>Crossref’s</w:t>
      </w:r>
      <w:proofErr w:type="spellEnd"/>
      <w:r w:rsidRPr="007559A6">
        <w:rPr>
          <w:rFonts w:ascii="Arial Narrow" w:hAnsi="Arial Narrow"/>
          <w:sz w:val="18"/>
          <w:szCs w:val="18"/>
        </w:rPr>
        <w:t xml:space="preserve"> metadata and API.</w:t>
      </w:r>
    </w:p>
    <w:p w14:paraId="6515BAF0" w14:textId="77777777" w:rsidR="007559A6" w:rsidRPr="007559A6" w:rsidRDefault="007559A6" w:rsidP="007559A6">
      <w:pPr>
        <w:pStyle w:val="ListParagraph"/>
        <w:numPr>
          <w:ilvl w:val="0"/>
          <w:numId w:val="14"/>
        </w:numPr>
        <w:spacing w:after="0" w:line="240" w:lineRule="auto"/>
        <w:jc w:val="both"/>
        <w:rPr>
          <w:rFonts w:ascii="Arial Narrow" w:hAnsi="Arial Narrow"/>
          <w:sz w:val="18"/>
          <w:szCs w:val="18"/>
        </w:rPr>
      </w:pPr>
      <w:r w:rsidRPr="007559A6">
        <w:rPr>
          <w:rStyle w:val="Strong"/>
          <w:rFonts w:ascii="Arial Narrow" w:hAnsi="Arial Narrow"/>
          <w:sz w:val="18"/>
          <w:szCs w:val="18"/>
        </w:rPr>
        <w:t>Crossmark and publisher metadata.</w:t>
      </w:r>
      <w:r w:rsidRPr="007559A6">
        <w:rPr>
          <w:rFonts w:ascii="Arial Narrow" w:hAnsi="Arial Narrow"/>
          <w:sz w:val="18"/>
          <w:szCs w:val="18"/>
        </w:rPr>
        <w:t xml:space="preserve"> Many publishers use </w:t>
      </w:r>
      <w:proofErr w:type="spellStart"/>
      <w:r w:rsidRPr="007559A6">
        <w:rPr>
          <w:rFonts w:ascii="Arial Narrow" w:hAnsi="Arial Narrow"/>
          <w:sz w:val="18"/>
          <w:szCs w:val="18"/>
        </w:rPr>
        <w:t>Crossref’s</w:t>
      </w:r>
      <w:proofErr w:type="spellEnd"/>
      <w:r w:rsidRPr="007559A6">
        <w:rPr>
          <w:rFonts w:ascii="Arial Narrow" w:hAnsi="Arial Narrow"/>
          <w:sz w:val="18"/>
          <w:szCs w:val="18"/>
        </w:rPr>
        <w:t xml:space="preserve"> Crossmark service to display a live status badge on articles. With one click, readers can see whether a paper has been corrected or retracted, and this status is also encoded in the article’s DOI metadata. </w:t>
      </w:r>
    </w:p>
    <w:p w14:paraId="0DB180ED" w14:textId="77777777" w:rsidR="007559A6" w:rsidRPr="007559A6" w:rsidRDefault="007559A6" w:rsidP="007559A6">
      <w:pPr>
        <w:pStyle w:val="ListParagraph"/>
        <w:numPr>
          <w:ilvl w:val="0"/>
          <w:numId w:val="14"/>
        </w:numPr>
        <w:spacing w:after="0" w:line="240" w:lineRule="auto"/>
        <w:jc w:val="both"/>
        <w:rPr>
          <w:rStyle w:val="ms-1"/>
          <w:rFonts w:ascii="Arial Narrow" w:hAnsi="Arial Narrow"/>
          <w:b/>
          <w:bCs/>
          <w:sz w:val="18"/>
          <w:szCs w:val="18"/>
        </w:rPr>
      </w:pPr>
      <w:r w:rsidRPr="007559A6">
        <w:rPr>
          <w:rStyle w:val="Strong"/>
          <w:rFonts w:ascii="Arial Narrow" w:hAnsi="Arial Narrow"/>
          <w:sz w:val="18"/>
          <w:szCs w:val="18"/>
        </w:rPr>
        <w:t>Major indexing databases.</w:t>
      </w:r>
      <w:r w:rsidRPr="007559A6">
        <w:rPr>
          <w:rFonts w:ascii="Arial Narrow" w:hAnsi="Arial Narrow"/>
          <w:sz w:val="18"/>
          <w:szCs w:val="18"/>
        </w:rPr>
        <w:t xml:space="preserve"> Systems such as PubMed, MEDLINE, and others tag “Retracted publication” as a specific publication type and link the retraction notice to the original article; similar flags and filters exist in other bibliographic databases, allowing users to include or exclude retracted items from searches. </w:t>
      </w:r>
    </w:p>
    <w:p w14:paraId="6DABC19C" w14:textId="77777777" w:rsidR="007559A6" w:rsidRPr="007559A6" w:rsidRDefault="007559A6" w:rsidP="007559A6">
      <w:pPr>
        <w:spacing w:after="0" w:line="240" w:lineRule="auto"/>
        <w:jc w:val="both"/>
        <w:rPr>
          <w:rFonts w:ascii="Arial Narrow" w:hAnsi="Arial Narrow" w:cstheme="minorHAnsi"/>
          <w:sz w:val="18"/>
          <w:szCs w:val="18"/>
        </w:rPr>
      </w:pPr>
      <w:r w:rsidRPr="007559A6">
        <w:rPr>
          <w:rFonts w:ascii="Arial Narrow" w:hAnsi="Arial Narrow"/>
          <w:sz w:val="18"/>
          <w:szCs w:val="18"/>
        </w:rPr>
        <w:t>Together, these tools mean that retractions now propagate quickly across the scholarly record – into databases, institutional dashboards, and ranking metrics – amplifying their ripple effects on universities’ reputations and incentives.</w:t>
      </w:r>
    </w:p>
    <w:p w14:paraId="5E886201" w14:textId="712F82BE" w:rsidR="007559A6" w:rsidRDefault="007559A6">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05410" w14:textId="77777777" w:rsidR="00123D65" w:rsidRDefault="004A42AE" w:rsidP="00123D65">
    <w:pPr>
      <w:pStyle w:val="Header"/>
      <w:jc w:val="right"/>
      <w:rPr>
        <w:rFonts w:ascii="Arial Narrow" w:eastAsia="Times New Roman" w:hAnsi="Arial Narrow" w:cstheme="minorHAnsi"/>
        <w:i/>
        <w:iCs/>
        <w:sz w:val="16"/>
        <w:szCs w:val="16"/>
      </w:rPr>
    </w:pPr>
    <w:sdt>
      <w:sdtPr>
        <w:rPr>
          <w:rFonts w:ascii="Arial Narrow" w:hAnsi="Arial Narrow"/>
          <w:i/>
          <w:iCs/>
          <w:sz w:val="16"/>
          <w:szCs w:val="16"/>
        </w:rPr>
        <w:id w:val="1286163680"/>
        <w:docPartObj>
          <w:docPartGallery w:val="Page Numbers (Margins)"/>
          <w:docPartUnique/>
        </w:docPartObj>
      </w:sdtPr>
      <w:sdtEndPr/>
      <w:sdtContent>
        <w:r w:rsidR="00D41DA3" w:rsidRPr="00123D65">
          <w:rPr>
            <w:rFonts w:ascii="Arial Narrow" w:hAnsi="Arial Narrow"/>
            <w:i/>
            <w:iCs/>
            <w:noProof/>
            <w:sz w:val="16"/>
            <w:szCs w:val="16"/>
          </w:rPr>
          <mc:AlternateContent>
            <mc:Choice Requires="wps">
              <w:drawing>
                <wp:anchor distT="0" distB="0" distL="114300" distR="114300" simplePos="0" relativeHeight="251659264" behindDoc="0" locked="0" layoutInCell="0" allowOverlap="1" wp14:anchorId="572B4D11" wp14:editId="369FAB15">
                  <wp:simplePos x="0" y="0"/>
                  <wp:positionH relativeFrom="rightMargin">
                    <wp:posOffset>141605</wp:posOffset>
                  </wp:positionH>
                  <wp:positionV relativeFrom="margin">
                    <wp:posOffset>472863</wp:posOffset>
                  </wp:positionV>
                  <wp:extent cx="589704" cy="433705"/>
                  <wp:effectExtent l="0" t="0" r="1270" b="381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704"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3856D9" w14:textId="77777777" w:rsidR="00D41DA3" w:rsidRPr="00D41DA3" w:rsidRDefault="00D41DA3" w:rsidP="00D41DA3">
                              <w:pPr>
                                <w:pBdr>
                                  <w:top w:val="single" w:sz="4" w:space="1" w:color="D8D8D8" w:themeColor="background1" w:themeShade="D8"/>
                                </w:pBdr>
                                <w:spacing w:after="0"/>
                                <w:jc w:val="center"/>
                                <w:rPr>
                                  <w:rFonts w:ascii="Arial Narrow" w:hAnsi="Arial Narrow"/>
                                  <w:b/>
                                  <w:bCs/>
                                  <w:i/>
                                  <w:iCs/>
                                  <w:sz w:val="20"/>
                                  <w:szCs w:val="20"/>
                                </w:rPr>
                              </w:pPr>
                              <w:r w:rsidRPr="00D41DA3">
                                <w:rPr>
                                  <w:rFonts w:ascii="Arial Narrow" w:hAnsi="Arial Narrow"/>
                                  <w:b/>
                                  <w:bCs/>
                                  <w:i/>
                                  <w:iCs/>
                                  <w:sz w:val="20"/>
                                  <w:szCs w:val="20"/>
                                </w:rPr>
                                <w:t xml:space="preserve">Page | </w:t>
                              </w:r>
                              <w:r w:rsidRPr="00D41DA3">
                                <w:rPr>
                                  <w:rFonts w:ascii="Arial Narrow" w:hAnsi="Arial Narrow"/>
                                  <w:b/>
                                  <w:bCs/>
                                  <w:i/>
                                  <w:iCs/>
                                  <w:sz w:val="20"/>
                                  <w:szCs w:val="20"/>
                                </w:rPr>
                                <w:fldChar w:fldCharType="begin"/>
                              </w:r>
                              <w:r w:rsidRPr="00D41DA3">
                                <w:rPr>
                                  <w:rFonts w:ascii="Arial Narrow" w:hAnsi="Arial Narrow"/>
                                  <w:b/>
                                  <w:bCs/>
                                  <w:i/>
                                  <w:iCs/>
                                  <w:sz w:val="20"/>
                                  <w:szCs w:val="20"/>
                                </w:rPr>
                                <w:instrText xml:space="preserve"> PAGE   \* MERGEFORMAT </w:instrText>
                              </w:r>
                              <w:r w:rsidRPr="00D41DA3">
                                <w:rPr>
                                  <w:rFonts w:ascii="Arial Narrow" w:hAnsi="Arial Narrow"/>
                                  <w:b/>
                                  <w:bCs/>
                                  <w:i/>
                                  <w:iCs/>
                                  <w:sz w:val="20"/>
                                  <w:szCs w:val="20"/>
                                </w:rPr>
                                <w:fldChar w:fldCharType="separate"/>
                              </w:r>
                              <w:r w:rsidRPr="00D41DA3">
                                <w:rPr>
                                  <w:rFonts w:ascii="Arial Narrow" w:hAnsi="Arial Narrow"/>
                                  <w:b/>
                                  <w:bCs/>
                                  <w:i/>
                                  <w:iCs/>
                                  <w:noProof/>
                                  <w:sz w:val="20"/>
                                  <w:szCs w:val="20"/>
                                </w:rPr>
                                <w:t>2</w:t>
                              </w:r>
                              <w:r w:rsidRPr="00D41DA3">
                                <w:rPr>
                                  <w:rFonts w:ascii="Arial Narrow" w:hAnsi="Arial Narrow"/>
                                  <w:b/>
                                  <w:bCs/>
                                  <w:i/>
                                  <w:iCs/>
                                  <w:noProof/>
                                  <w:sz w:val="20"/>
                                  <w:szCs w:val="20"/>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572B4D11" id="Rectangle 1" o:spid="_x0000_s1026" style="position:absolute;left:0;text-align:left;margin-left:11.15pt;margin-top:37.25pt;width:46.45pt;height:34.15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" o:allowincell="f" stroked="f">
                  <v:textbox style="mso-fit-shape-to-text:t" inset="0,,0">
                    <w:txbxContent>
                      <w:p w14:paraId="333856D9" w14:textId="77777777" w:rsidR="00D41DA3" w:rsidRPr="00D41DA3" w:rsidRDefault="00D41DA3" w:rsidP="00D41DA3">
                        <w:pPr>
                          <w:pBdr>
                            <w:top w:val="single" w:sz="4" w:space="1" w:color="D8D8D8" w:themeColor="background1" w:themeShade="D8"/>
                          </w:pBdr>
                          <w:spacing w:after="0"/>
                          <w:jc w:val="center"/>
                          <w:rPr>
                            <w:rFonts w:ascii="Arial Narrow" w:hAnsi="Arial Narrow"/>
                            <w:b/>
                            <w:bCs/>
                            <w:i/>
                            <w:iCs/>
                            <w:sz w:val="20"/>
                            <w:szCs w:val="20"/>
                          </w:rPr>
                        </w:pPr>
                        <w:r w:rsidRPr="00D41DA3">
                          <w:rPr>
                            <w:rFonts w:ascii="Arial Narrow" w:hAnsi="Arial Narrow"/>
                            <w:b/>
                            <w:bCs/>
                            <w:i/>
                            <w:iCs/>
                            <w:sz w:val="20"/>
                            <w:szCs w:val="20"/>
                          </w:rPr>
                          <w:t xml:space="preserve">Page | </w:t>
                        </w:r>
                        <w:r w:rsidRPr="00D41DA3">
                          <w:rPr>
                            <w:rFonts w:ascii="Arial Narrow" w:hAnsi="Arial Narrow"/>
                            <w:b/>
                            <w:bCs/>
                            <w:i/>
                            <w:iCs/>
                            <w:sz w:val="20"/>
                            <w:szCs w:val="20"/>
                          </w:rPr>
                          <w:fldChar w:fldCharType="begin"/>
                        </w:r>
                        <w:r w:rsidRPr="00D41DA3">
                          <w:rPr>
                            <w:rFonts w:ascii="Arial Narrow" w:hAnsi="Arial Narrow"/>
                            <w:b/>
                            <w:bCs/>
                            <w:i/>
                            <w:iCs/>
                            <w:sz w:val="20"/>
                            <w:szCs w:val="20"/>
                          </w:rPr>
                          <w:instrText xml:space="preserve"> PAGE   \* MERGEFORMAT </w:instrText>
                        </w:r>
                        <w:r w:rsidRPr="00D41DA3">
                          <w:rPr>
                            <w:rFonts w:ascii="Arial Narrow" w:hAnsi="Arial Narrow"/>
                            <w:b/>
                            <w:bCs/>
                            <w:i/>
                            <w:iCs/>
                            <w:sz w:val="20"/>
                            <w:szCs w:val="20"/>
                          </w:rPr>
                          <w:fldChar w:fldCharType="separate"/>
                        </w:r>
                        <w:r w:rsidRPr="00D41DA3">
                          <w:rPr>
                            <w:rFonts w:ascii="Arial Narrow" w:hAnsi="Arial Narrow"/>
                            <w:b/>
                            <w:bCs/>
                            <w:i/>
                            <w:iCs/>
                            <w:noProof/>
                            <w:sz w:val="20"/>
                            <w:szCs w:val="20"/>
                          </w:rPr>
                          <w:t>2</w:t>
                        </w:r>
                        <w:r w:rsidRPr="00D41DA3">
                          <w:rPr>
                            <w:rFonts w:ascii="Arial Narrow" w:hAnsi="Arial Narrow"/>
                            <w:b/>
                            <w:bCs/>
                            <w:i/>
                            <w:iCs/>
                            <w:noProof/>
                            <w:sz w:val="20"/>
                            <w:szCs w:val="20"/>
                          </w:rPr>
                          <w:fldChar w:fldCharType="end"/>
                        </w:r>
                      </w:p>
                    </w:txbxContent>
                  </v:textbox>
                  <w10:wrap anchorx="margin" anchory="margin"/>
                </v:rect>
              </w:pict>
            </mc:Fallback>
          </mc:AlternateContent>
        </w:r>
      </w:sdtContent>
    </w:sdt>
    <w:r w:rsidR="00123D65">
      <w:rPr>
        <w:rFonts w:ascii="Arial Narrow" w:eastAsia="Times New Roman" w:hAnsi="Arial Narrow" w:cstheme="minorHAnsi"/>
        <w:i/>
        <w:iCs/>
        <w:sz w:val="16"/>
        <w:szCs w:val="16"/>
      </w:rPr>
      <w:t>A</w:t>
    </w:r>
    <w:r w:rsidR="00123D65" w:rsidRPr="00123D65">
      <w:rPr>
        <w:rFonts w:ascii="Arial Narrow" w:eastAsia="Times New Roman" w:hAnsi="Arial Narrow" w:cstheme="minorHAnsi"/>
        <w:i/>
        <w:iCs/>
        <w:sz w:val="16"/>
        <w:szCs w:val="16"/>
      </w:rPr>
      <w:t xml:space="preserve"> higher education sector that is </w:t>
    </w:r>
  </w:p>
  <w:p w14:paraId="2E91F8A0" w14:textId="77777777" w:rsidR="00123D65" w:rsidRDefault="00123D65" w:rsidP="00123D65">
    <w:pPr>
      <w:pStyle w:val="Header"/>
      <w:jc w:val="right"/>
      <w:rPr>
        <w:rFonts w:ascii="Arial Narrow" w:eastAsia="Times New Roman" w:hAnsi="Arial Narrow" w:cstheme="minorHAnsi"/>
        <w:i/>
        <w:iCs/>
        <w:sz w:val="16"/>
        <w:szCs w:val="16"/>
      </w:rPr>
    </w:pPr>
    <w:r w:rsidRPr="00123D65">
      <w:rPr>
        <w:rFonts w:ascii="Arial Narrow" w:eastAsia="Times New Roman" w:hAnsi="Arial Narrow" w:cstheme="minorHAnsi"/>
        <w:i/>
        <w:iCs/>
        <w:sz w:val="16"/>
        <w:szCs w:val="16"/>
      </w:rPr>
      <w:t xml:space="preserve">technically sophisticated </w:t>
    </w:r>
  </w:p>
  <w:p w14:paraId="4354B687" w14:textId="0EC17429" w:rsidR="00123D65" w:rsidRDefault="00123D65" w:rsidP="00123D65">
    <w:pPr>
      <w:pStyle w:val="Header"/>
      <w:jc w:val="right"/>
      <w:rPr>
        <w:rFonts w:ascii="Arial Narrow" w:eastAsia="Times New Roman" w:hAnsi="Arial Narrow" w:cstheme="minorHAnsi"/>
        <w:i/>
        <w:iCs/>
        <w:sz w:val="16"/>
        <w:szCs w:val="16"/>
      </w:rPr>
    </w:pPr>
    <w:r w:rsidRPr="00123D65">
      <w:rPr>
        <w:rFonts w:ascii="Arial Narrow" w:eastAsia="Times New Roman" w:hAnsi="Arial Narrow" w:cstheme="minorHAnsi"/>
        <w:i/>
        <w:iCs/>
        <w:sz w:val="16"/>
        <w:szCs w:val="16"/>
      </w:rPr>
      <w:t xml:space="preserve">and globally networked </w:t>
    </w:r>
  </w:p>
  <w:p w14:paraId="60F77547" w14:textId="1069BBC2" w:rsidR="00D41DA3" w:rsidRPr="00123D65" w:rsidRDefault="00123D65" w:rsidP="00123D65">
    <w:pPr>
      <w:pStyle w:val="Header"/>
      <w:jc w:val="right"/>
      <w:rPr>
        <w:rFonts w:ascii="Arial Narrow" w:hAnsi="Arial Narrow"/>
        <w:i/>
        <w:iCs/>
        <w:sz w:val="16"/>
        <w:szCs w:val="16"/>
      </w:rPr>
    </w:pPr>
    <w:r w:rsidRPr="00123D65">
      <w:rPr>
        <w:rFonts w:ascii="Arial Narrow" w:eastAsia="Times New Roman" w:hAnsi="Arial Narrow" w:cstheme="minorHAnsi"/>
        <w:i/>
        <w:iCs/>
        <w:sz w:val="16"/>
        <w:szCs w:val="16"/>
      </w:rPr>
      <w:t>but pedagogically hollow.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32BC2"/>
    <w:multiLevelType w:val="multilevel"/>
    <w:tmpl w:val="C0F4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8955A1"/>
    <w:multiLevelType w:val="multilevel"/>
    <w:tmpl w:val="9F16A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9F13E2"/>
    <w:multiLevelType w:val="multilevel"/>
    <w:tmpl w:val="0838B0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07B73D5"/>
    <w:multiLevelType w:val="multilevel"/>
    <w:tmpl w:val="FF505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020577"/>
    <w:multiLevelType w:val="multilevel"/>
    <w:tmpl w:val="A76A3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1D00CC"/>
    <w:multiLevelType w:val="hybridMultilevel"/>
    <w:tmpl w:val="A54CDC4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8621CFE"/>
    <w:multiLevelType w:val="hybridMultilevel"/>
    <w:tmpl w:val="EE12AB3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A1D6E75"/>
    <w:multiLevelType w:val="hybridMultilevel"/>
    <w:tmpl w:val="95509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867F3D"/>
    <w:multiLevelType w:val="multilevel"/>
    <w:tmpl w:val="38209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8267BDD"/>
    <w:multiLevelType w:val="multilevel"/>
    <w:tmpl w:val="2CEE2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0ED2DFE"/>
    <w:multiLevelType w:val="hybridMultilevel"/>
    <w:tmpl w:val="35403C4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2616297"/>
    <w:multiLevelType w:val="hybridMultilevel"/>
    <w:tmpl w:val="ECC86F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2163AA"/>
    <w:multiLevelType w:val="hybridMultilevel"/>
    <w:tmpl w:val="6C0695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1E6EC7"/>
    <w:multiLevelType w:val="multilevel"/>
    <w:tmpl w:val="2DAC83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9"/>
  </w:num>
  <w:num w:numId="5">
    <w:abstractNumId w:val="1"/>
  </w:num>
  <w:num w:numId="6">
    <w:abstractNumId w:val="8"/>
  </w:num>
  <w:num w:numId="7">
    <w:abstractNumId w:val="4"/>
  </w:num>
  <w:num w:numId="8">
    <w:abstractNumId w:val="13"/>
  </w:num>
  <w:num w:numId="9">
    <w:abstractNumId w:val="12"/>
  </w:num>
  <w:num w:numId="10">
    <w:abstractNumId w:val="7"/>
  </w:num>
  <w:num w:numId="11">
    <w:abstractNumId w:val="6"/>
  </w:num>
  <w:num w:numId="12">
    <w:abstractNumId w:val="5"/>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69E"/>
    <w:rsid w:val="0000471C"/>
    <w:rsid w:val="000064DF"/>
    <w:rsid w:val="00064ABC"/>
    <w:rsid w:val="00123D65"/>
    <w:rsid w:val="00173FFA"/>
    <w:rsid w:val="0020378C"/>
    <w:rsid w:val="0026151F"/>
    <w:rsid w:val="002B7619"/>
    <w:rsid w:val="002E373A"/>
    <w:rsid w:val="002F5CE1"/>
    <w:rsid w:val="00357D18"/>
    <w:rsid w:val="004A42AE"/>
    <w:rsid w:val="004A78CC"/>
    <w:rsid w:val="004F7A18"/>
    <w:rsid w:val="00542702"/>
    <w:rsid w:val="006A2AD3"/>
    <w:rsid w:val="007559A6"/>
    <w:rsid w:val="00763BEC"/>
    <w:rsid w:val="007B6A79"/>
    <w:rsid w:val="00837D46"/>
    <w:rsid w:val="009218E4"/>
    <w:rsid w:val="00996589"/>
    <w:rsid w:val="009E600A"/>
    <w:rsid w:val="00B070A5"/>
    <w:rsid w:val="00B4423C"/>
    <w:rsid w:val="00C2669E"/>
    <w:rsid w:val="00C55465"/>
    <w:rsid w:val="00CC1DCF"/>
    <w:rsid w:val="00D41DA3"/>
    <w:rsid w:val="00DE0F26"/>
    <w:rsid w:val="00E249F9"/>
    <w:rsid w:val="00F0436D"/>
    <w:rsid w:val="00F55D47"/>
    <w:rsid w:val="00FA75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18C2B4"/>
  <w15:chartTrackingRefBased/>
  <w15:docId w15:val="{D9A41B7D-BF7C-41B5-A959-62394A362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C2669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2669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2669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2669E"/>
    <w:rPr>
      <w:rFonts w:ascii="Times New Roman" w:eastAsia="Times New Roman" w:hAnsi="Times New Roman" w:cs="Times New Roman"/>
      <w:b/>
      <w:bCs/>
      <w:sz w:val="27"/>
      <w:szCs w:val="27"/>
    </w:rPr>
  </w:style>
  <w:style w:type="paragraph" w:styleId="NormalWeb">
    <w:name w:val="Normal (Web)"/>
    <w:basedOn w:val="Normal"/>
    <w:uiPriority w:val="99"/>
    <w:unhideWhenUsed/>
    <w:rsid w:val="00C2669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lative">
    <w:name w:val="relative"/>
    <w:basedOn w:val="DefaultParagraphFont"/>
    <w:rsid w:val="00C2669E"/>
  </w:style>
  <w:style w:type="paragraph" w:customStyle="1" w:styleId="not-prose">
    <w:name w:val="not-prose"/>
    <w:basedOn w:val="Normal"/>
    <w:rsid w:val="00C2669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2669E"/>
    <w:rPr>
      <w:b/>
      <w:bCs/>
    </w:rPr>
  </w:style>
  <w:style w:type="character" w:styleId="Emphasis">
    <w:name w:val="Emphasis"/>
    <w:basedOn w:val="DefaultParagraphFont"/>
    <w:uiPriority w:val="20"/>
    <w:qFormat/>
    <w:rsid w:val="00C2669E"/>
    <w:rPr>
      <w:i/>
      <w:iCs/>
    </w:rPr>
  </w:style>
  <w:style w:type="character" w:styleId="Hyperlink">
    <w:name w:val="Hyperlink"/>
    <w:basedOn w:val="DefaultParagraphFont"/>
    <w:uiPriority w:val="99"/>
    <w:unhideWhenUsed/>
    <w:rsid w:val="00C2669E"/>
    <w:rPr>
      <w:color w:val="0000FF"/>
      <w:u w:val="single"/>
    </w:rPr>
  </w:style>
  <w:style w:type="paragraph" w:styleId="ListParagraph">
    <w:name w:val="List Paragraph"/>
    <w:basedOn w:val="Normal"/>
    <w:uiPriority w:val="34"/>
    <w:qFormat/>
    <w:rsid w:val="009218E4"/>
    <w:pPr>
      <w:ind w:left="720"/>
      <w:contextualSpacing/>
    </w:pPr>
  </w:style>
  <w:style w:type="character" w:styleId="UnresolvedMention">
    <w:name w:val="Unresolved Mention"/>
    <w:basedOn w:val="DefaultParagraphFont"/>
    <w:uiPriority w:val="99"/>
    <w:semiHidden/>
    <w:unhideWhenUsed/>
    <w:rsid w:val="009218E4"/>
    <w:rPr>
      <w:color w:val="605E5C"/>
      <w:shd w:val="clear" w:color="auto" w:fill="E1DFDD"/>
    </w:rPr>
  </w:style>
  <w:style w:type="paragraph" w:styleId="Header">
    <w:name w:val="header"/>
    <w:basedOn w:val="Normal"/>
    <w:link w:val="HeaderChar"/>
    <w:uiPriority w:val="99"/>
    <w:unhideWhenUsed/>
    <w:rsid w:val="00D41D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1DA3"/>
  </w:style>
  <w:style w:type="paragraph" w:styleId="Footer">
    <w:name w:val="footer"/>
    <w:basedOn w:val="Normal"/>
    <w:link w:val="FooterChar"/>
    <w:uiPriority w:val="99"/>
    <w:unhideWhenUsed/>
    <w:rsid w:val="00D41D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1DA3"/>
  </w:style>
  <w:style w:type="character" w:styleId="FollowedHyperlink">
    <w:name w:val="FollowedHyperlink"/>
    <w:basedOn w:val="DefaultParagraphFont"/>
    <w:uiPriority w:val="99"/>
    <w:semiHidden/>
    <w:unhideWhenUsed/>
    <w:rsid w:val="00173FFA"/>
    <w:rPr>
      <w:color w:val="954F72" w:themeColor="followedHyperlink"/>
      <w:u w:val="single"/>
    </w:rPr>
  </w:style>
  <w:style w:type="character" w:customStyle="1" w:styleId="ms-1">
    <w:name w:val="ms-1"/>
    <w:basedOn w:val="DefaultParagraphFont"/>
    <w:rsid w:val="007559A6"/>
  </w:style>
  <w:style w:type="table" w:styleId="TableGrid">
    <w:name w:val="Table Grid"/>
    <w:basedOn w:val="TableNormal"/>
    <w:uiPriority w:val="39"/>
    <w:rsid w:val="007559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559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559A6"/>
    <w:rPr>
      <w:sz w:val="20"/>
      <w:szCs w:val="20"/>
    </w:rPr>
  </w:style>
  <w:style w:type="character" w:styleId="FootnoteReference">
    <w:name w:val="footnote reference"/>
    <w:basedOn w:val="DefaultParagraphFont"/>
    <w:uiPriority w:val="99"/>
    <w:semiHidden/>
    <w:unhideWhenUsed/>
    <w:rsid w:val="007559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858">
      <w:bodyDiv w:val="1"/>
      <w:marLeft w:val="0"/>
      <w:marRight w:val="0"/>
      <w:marTop w:val="0"/>
      <w:marBottom w:val="0"/>
      <w:divBdr>
        <w:top w:val="none" w:sz="0" w:space="0" w:color="auto"/>
        <w:left w:val="none" w:sz="0" w:space="0" w:color="auto"/>
        <w:bottom w:val="none" w:sz="0" w:space="0" w:color="auto"/>
        <w:right w:val="none" w:sz="0" w:space="0" w:color="auto"/>
      </w:divBdr>
    </w:div>
    <w:div w:id="62218782">
      <w:bodyDiv w:val="1"/>
      <w:marLeft w:val="0"/>
      <w:marRight w:val="0"/>
      <w:marTop w:val="0"/>
      <w:marBottom w:val="0"/>
      <w:divBdr>
        <w:top w:val="none" w:sz="0" w:space="0" w:color="auto"/>
        <w:left w:val="none" w:sz="0" w:space="0" w:color="auto"/>
        <w:bottom w:val="none" w:sz="0" w:space="0" w:color="auto"/>
        <w:right w:val="none" w:sz="0" w:space="0" w:color="auto"/>
      </w:divBdr>
    </w:div>
    <w:div w:id="294454423">
      <w:bodyDiv w:val="1"/>
      <w:marLeft w:val="0"/>
      <w:marRight w:val="0"/>
      <w:marTop w:val="0"/>
      <w:marBottom w:val="0"/>
      <w:divBdr>
        <w:top w:val="none" w:sz="0" w:space="0" w:color="auto"/>
        <w:left w:val="none" w:sz="0" w:space="0" w:color="auto"/>
        <w:bottom w:val="none" w:sz="0" w:space="0" w:color="auto"/>
        <w:right w:val="none" w:sz="0" w:space="0" w:color="auto"/>
      </w:divBdr>
      <w:divsChild>
        <w:div w:id="822699852">
          <w:blockQuote w:val="1"/>
          <w:marLeft w:val="720"/>
          <w:marRight w:val="720"/>
          <w:marTop w:val="100"/>
          <w:marBottom w:val="100"/>
          <w:divBdr>
            <w:top w:val="none" w:sz="0" w:space="0" w:color="auto"/>
            <w:left w:val="none" w:sz="0" w:space="0" w:color="auto"/>
            <w:bottom w:val="none" w:sz="0" w:space="0" w:color="auto"/>
            <w:right w:val="none" w:sz="0" w:space="0" w:color="auto"/>
          </w:divBdr>
        </w:div>
        <w:div w:id="18025343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86989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89/feduc.2025.1619897" TargetMode="External"/><Relationship Id="rId13" Type="http://schemas.openxmlformats.org/officeDocument/2006/relationships/hyperlink" Target="https://www.topuniversities.com/world-university-rankings/methodology?utm_source=chatgpt.com" TargetMode="External"/><Relationship Id="rId18" Type="http://schemas.openxmlformats.org/officeDocument/2006/relationships/hyperlink" Target="https://lib.uliege.be/en/news/10000-fraudulent-articles-withdrawn-scientific-journals-2023?utm_source=chatgpt.com"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officeforstudents.org.uk/for-providers/quality-and-standards/about-the-tef/?utm_source=chatgpt.com" TargetMode="External"/><Relationship Id="rId17" Type="http://schemas.openxmlformats.org/officeDocument/2006/relationships/hyperlink" Target="https://www.ucas.com/applying/you-apply/what-and-where-study/study-options/teaching-excellence-framework-tef?utm_source=chatgpt.com" TargetMode="External"/><Relationship Id="rId2" Type="http://schemas.openxmlformats.org/officeDocument/2006/relationships/numbering" Target="numbering.xml"/><Relationship Id="rId16" Type="http://schemas.openxmlformats.org/officeDocument/2006/relationships/hyperlink" Target="https://retractionwatch.com/2025/02/17/springer-nature-journal-retractions-2024/?utm_source=chatgpt.com" TargetMode="External"/><Relationship Id="rId20" Type="http://schemas.openxmlformats.org/officeDocument/2006/relationships/hyperlink" Target="https://doi.org/10.1016/j.cmi.2023.07.02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brary.hkust.edu.hk/news/why-articles-get-retracted-analysis-of-crossrefs-retraction-watch-dataset/" TargetMode="External"/><Relationship Id="rId5" Type="http://schemas.openxmlformats.org/officeDocument/2006/relationships/webSettings" Target="webSettings.xml"/><Relationship Id="rId15" Type="http://schemas.openxmlformats.org/officeDocument/2006/relationships/hyperlink" Target="https://www.timeshighereducation.com/world-university-rankings/methodology?utm_source=chatgpt.com" TargetMode="External"/><Relationship Id="rId23" Type="http://schemas.openxmlformats.org/officeDocument/2006/relationships/theme" Target="theme/theme1.xml"/><Relationship Id="rId10" Type="http://schemas.openxmlformats.org/officeDocument/2006/relationships/hyperlink" Target="https://retractionwatch.com/2023/12/19/hindawi-reveals-process-for-retracting-more-than-8000-paper-mill-articles/?utm_source=chatgpt.com" TargetMode="External"/><Relationship Id="rId19" Type="http://schemas.openxmlformats.org/officeDocument/2006/relationships/hyperlink" Target="https://doi.org/10.1038/d41586-023-03974-8" TargetMode="External"/><Relationship Id="rId4" Type="http://schemas.openxmlformats.org/officeDocument/2006/relationships/settings" Target="settings.xml"/><Relationship Id="rId9" Type="http://schemas.openxmlformats.org/officeDocument/2006/relationships/hyperlink" Target="https://clarivate.com/academia-government/blog/retraction-awareness-equipping-researchers-with-timely-insights/?utm_source=chatgpt.com" TargetMode="External"/><Relationship Id="rId14" Type="http://schemas.openxmlformats.org/officeDocument/2006/relationships/hyperlink" Target="https://retractiondatabase.org?utm_source=chatgpt.com"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mailto:mifheili@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98E0C7-F814-4FFB-8F90-44D72F3DB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3899</Words>
  <Characters>22226</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Fheili</dc:creator>
  <cp:keywords/>
  <dc:description/>
  <cp:lastModifiedBy>Mohammad Fheili</cp:lastModifiedBy>
  <cp:revision>10</cp:revision>
  <dcterms:created xsi:type="dcterms:W3CDTF">2025-12-05T20:09:00Z</dcterms:created>
  <dcterms:modified xsi:type="dcterms:W3CDTF">2025-12-05T20:31:00Z</dcterms:modified>
</cp:coreProperties>
</file>